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A671" w14:textId="3436B944" w:rsidR="003574BB" w:rsidRPr="003574BB" w:rsidRDefault="003574BB" w:rsidP="003574BB">
      <w:pPr>
        <w:suppressAutoHyphens/>
        <w:spacing w:line="360" w:lineRule="auto"/>
        <w:jc w:val="center"/>
      </w:pPr>
      <w:r w:rsidRPr="003574BB">
        <w:rPr>
          <w:b/>
        </w:rPr>
        <w:t>ИНСТРУКЦИЯ</w:t>
      </w:r>
    </w:p>
    <w:p w14:paraId="607E58E1" w14:textId="0426FCD2" w:rsidR="008829D0" w:rsidRPr="007A66BD" w:rsidRDefault="003574BB" w:rsidP="003574BB">
      <w:pPr>
        <w:suppressAutoHyphens/>
        <w:spacing w:line="360" w:lineRule="auto"/>
        <w:jc w:val="center"/>
      </w:pPr>
      <w:r w:rsidRPr="003574BB">
        <w:rPr>
          <w:b/>
          <w:bCs/>
        </w:rPr>
        <w:t>ПО МЕДИЦИНСКОМУ ПРИМЕНЕНИЮ</w:t>
      </w:r>
      <w:r w:rsidRPr="00296575">
        <w:rPr>
          <w:b/>
          <w:bCs/>
        </w:rPr>
        <w:t xml:space="preserve"> </w:t>
      </w:r>
      <w:r w:rsidRPr="003574BB">
        <w:rPr>
          <w:b/>
          <w:bCs/>
        </w:rPr>
        <w:t>ЛЕКАРСТВЕННОГО ПРЕПАРАТА</w:t>
      </w:r>
    </w:p>
    <w:p w14:paraId="6A24A0BA" w14:textId="77777777" w:rsidR="008829D0" w:rsidRPr="00046215" w:rsidRDefault="00740CA1" w:rsidP="00C957E2">
      <w:pPr>
        <w:suppressAutoHyphens/>
        <w:spacing w:line="360" w:lineRule="auto"/>
        <w:jc w:val="center"/>
      </w:pPr>
      <w:r>
        <w:rPr>
          <w:b/>
          <w:bCs/>
        </w:rPr>
        <w:t>ПЕРЬЕТА</w:t>
      </w:r>
      <w:r w:rsidR="006E2758" w:rsidRPr="006E2758">
        <w:rPr>
          <w:b/>
          <w:bCs/>
          <w:vertAlign w:val="superscript"/>
        </w:rPr>
        <w:t>®</w:t>
      </w:r>
    </w:p>
    <w:p w14:paraId="1A36FC7A" w14:textId="77777777" w:rsidR="008829D0" w:rsidRPr="007A66BD" w:rsidRDefault="008829D0" w:rsidP="00C957E2">
      <w:pPr>
        <w:widowControl w:val="0"/>
        <w:suppressAutoHyphens/>
        <w:spacing w:line="360" w:lineRule="auto"/>
        <w:rPr>
          <w:highlight w:val="yellow"/>
        </w:rPr>
      </w:pPr>
    </w:p>
    <w:p w14:paraId="4A80A64B" w14:textId="77777777" w:rsidR="008829D0" w:rsidRPr="007A66BD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 xml:space="preserve">Регистрационный номер </w:t>
      </w:r>
    </w:p>
    <w:p w14:paraId="44785A25" w14:textId="77777777" w:rsidR="008829D0" w:rsidRDefault="00265AE4" w:rsidP="00C957E2">
      <w:pPr>
        <w:suppressAutoHyphens/>
        <w:spacing w:line="360" w:lineRule="auto"/>
      </w:pPr>
      <w:r>
        <w:t>ЛП-002034</w:t>
      </w:r>
    </w:p>
    <w:p w14:paraId="5827218B" w14:textId="77777777" w:rsidR="00B7082C" w:rsidRPr="007A66BD" w:rsidRDefault="00B7082C" w:rsidP="00C957E2">
      <w:pPr>
        <w:suppressAutoHyphens/>
        <w:spacing w:line="360" w:lineRule="auto"/>
      </w:pPr>
    </w:p>
    <w:p w14:paraId="703EC51C" w14:textId="77777777" w:rsidR="008829D0" w:rsidRPr="007A66BD" w:rsidRDefault="00B7082C" w:rsidP="00C957E2">
      <w:pPr>
        <w:suppressAutoHyphens/>
        <w:spacing w:line="360" w:lineRule="auto"/>
        <w:rPr>
          <w:b/>
          <w:bCs/>
        </w:rPr>
      </w:pPr>
      <w:r>
        <w:rPr>
          <w:b/>
          <w:bCs/>
        </w:rPr>
        <w:t>Торговое наименование</w:t>
      </w:r>
    </w:p>
    <w:p w14:paraId="331CA76D" w14:textId="77777777" w:rsidR="008829D0" w:rsidRPr="003A1548" w:rsidRDefault="000F23B5" w:rsidP="00C957E2">
      <w:pPr>
        <w:suppressAutoHyphens/>
        <w:spacing w:line="360" w:lineRule="auto"/>
      </w:pPr>
      <w:proofErr w:type="spellStart"/>
      <w:r>
        <w:t>Перьета</w:t>
      </w:r>
      <w:proofErr w:type="spellEnd"/>
      <w:r w:rsidR="006E2758" w:rsidRPr="006E2758">
        <w:rPr>
          <w:vertAlign w:val="superscript"/>
        </w:rPr>
        <w:t>®</w:t>
      </w:r>
    </w:p>
    <w:p w14:paraId="6D4FDBEF" w14:textId="77777777" w:rsidR="00B7082C" w:rsidRDefault="00B7082C" w:rsidP="00C957E2">
      <w:pPr>
        <w:suppressAutoHyphens/>
        <w:spacing w:line="360" w:lineRule="auto"/>
        <w:rPr>
          <w:b/>
          <w:bCs/>
        </w:rPr>
      </w:pPr>
    </w:p>
    <w:p w14:paraId="2BB549C6" w14:textId="1BCAD558" w:rsidR="008829D0" w:rsidRPr="007A66BD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 xml:space="preserve">Международное непатентованное </w:t>
      </w:r>
      <w:r w:rsidR="00592B07">
        <w:rPr>
          <w:b/>
          <w:bCs/>
        </w:rPr>
        <w:t xml:space="preserve">или группировочное </w:t>
      </w:r>
      <w:r w:rsidR="00B8641C">
        <w:rPr>
          <w:b/>
          <w:bCs/>
        </w:rPr>
        <w:t>наименование</w:t>
      </w:r>
    </w:p>
    <w:p w14:paraId="64DC04C6" w14:textId="77777777" w:rsidR="008829D0" w:rsidRDefault="00207CCC" w:rsidP="00C957E2">
      <w:pPr>
        <w:suppressAutoHyphens/>
        <w:spacing w:line="360" w:lineRule="auto"/>
      </w:pPr>
      <w:proofErr w:type="spellStart"/>
      <w:r w:rsidRPr="007A66BD">
        <w:t>Пертузумаб</w:t>
      </w:r>
      <w:proofErr w:type="spellEnd"/>
    </w:p>
    <w:p w14:paraId="67B00395" w14:textId="77777777" w:rsidR="00B7082C" w:rsidRPr="007A66BD" w:rsidRDefault="00B7082C" w:rsidP="00C957E2">
      <w:pPr>
        <w:suppressAutoHyphens/>
        <w:spacing w:line="360" w:lineRule="auto"/>
      </w:pPr>
    </w:p>
    <w:p w14:paraId="66865B4B" w14:textId="77777777" w:rsidR="008829D0" w:rsidRPr="007A66BD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>Лекарственная форма</w:t>
      </w:r>
    </w:p>
    <w:p w14:paraId="4B69493A" w14:textId="77777777" w:rsidR="008829D0" w:rsidRDefault="00207CCC" w:rsidP="00C957E2">
      <w:pPr>
        <w:suppressAutoHyphens/>
        <w:spacing w:line="360" w:lineRule="auto"/>
      </w:pPr>
      <w:r w:rsidRPr="007A66BD">
        <w:t>Концентрат для приготовления раствора для инфузий</w:t>
      </w:r>
    </w:p>
    <w:p w14:paraId="212B0F03" w14:textId="77777777" w:rsidR="00B7082C" w:rsidRPr="007A66BD" w:rsidRDefault="00B7082C" w:rsidP="00C957E2">
      <w:pPr>
        <w:suppressAutoHyphens/>
        <w:spacing w:line="360" w:lineRule="auto"/>
      </w:pPr>
    </w:p>
    <w:p w14:paraId="0BEBB0DF" w14:textId="77777777" w:rsidR="008829D0" w:rsidRPr="007A66BD" w:rsidRDefault="008829D0" w:rsidP="00C957E2">
      <w:pPr>
        <w:suppressAutoHyphens/>
        <w:spacing w:line="360" w:lineRule="auto"/>
        <w:ind w:right="-86"/>
      </w:pPr>
      <w:r w:rsidRPr="007A66BD">
        <w:rPr>
          <w:b/>
        </w:rPr>
        <w:t>Состав</w:t>
      </w:r>
    </w:p>
    <w:p w14:paraId="6BED1920" w14:textId="77777777" w:rsidR="00B7082C" w:rsidRPr="00B7082C" w:rsidRDefault="00B7082C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 w:rsidRPr="00B7082C">
        <w:rPr>
          <w:lang w:eastAsia="ja-JP"/>
        </w:rPr>
        <w:t>1 флакон содержит:</w:t>
      </w:r>
    </w:p>
    <w:p w14:paraId="01E9D0B9" w14:textId="7FB35240" w:rsidR="00B7082C" w:rsidRPr="00B7082C" w:rsidRDefault="00AA1C95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>
        <w:rPr>
          <w:i/>
          <w:lang w:eastAsia="ja-JP"/>
        </w:rPr>
        <w:t>действующе</w:t>
      </w:r>
      <w:r w:rsidRPr="00B7082C">
        <w:rPr>
          <w:i/>
          <w:lang w:eastAsia="ja-JP"/>
        </w:rPr>
        <w:t>е</w:t>
      </w:r>
      <w:r w:rsidR="00B7082C" w:rsidRPr="00B7082C">
        <w:rPr>
          <w:i/>
          <w:lang w:eastAsia="ja-JP"/>
        </w:rPr>
        <w:t xml:space="preserve"> вещество</w:t>
      </w:r>
      <w:r w:rsidR="00B7082C">
        <w:rPr>
          <w:lang w:eastAsia="ja-JP"/>
        </w:rPr>
        <w:t xml:space="preserve">: </w:t>
      </w:r>
      <w:proofErr w:type="spellStart"/>
      <w:r w:rsidR="00B7082C">
        <w:rPr>
          <w:lang w:eastAsia="ja-JP"/>
        </w:rPr>
        <w:t>пертузумаб</w:t>
      </w:r>
      <w:proofErr w:type="spellEnd"/>
      <w:r w:rsidR="00B7082C" w:rsidRPr="00B7082C">
        <w:rPr>
          <w:lang w:eastAsia="ja-JP"/>
        </w:rPr>
        <w:t xml:space="preserve"> – </w:t>
      </w:r>
      <w:r w:rsidR="00B7082C">
        <w:rPr>
          <w:lang w:eastAsia="ja-JP"/>
        </w:rPr>
        <w:t>42</w:t>
      </w:r>
      <w:r w:rsidR="00C61CF9">
        <w:rPr>
          <w:lang w:eastAsia="ja-JP"/>
        </w:rPr>
        <w:t>0 мг</w:t>
      </w:r>
      <w:r w:rsidR="00B7082C" w:rsidRPr="00B7082C">
        <w:rPr>
          <w:lang w:eastAsia="ja-JP"/>
        </w:rPr>
        <w:t xml:space="preserve">; </w:t>
      </w:r>
    </w:p>
    <w:p w14:paraId="01F8F27F" w14:textId="77777777" w:rsidR="00B7082C" w:rsidRDefault="00B7082C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 w:rsidRPr="00B7082C">
        <w:rPr>
          <w:i/>
          <w:lang w:eastAsia="ja-JP"/>
        </w:rPr>
        <w:t>вспомогательные вещества</w:t>
      </w:r>
      <w:r w:rsidRPr="00B7082C">
        <w:rPr>
          <w:lang w:eastAsia="ja-JP"/>
        </w:rPr>
        <w:t>:</w:t>
      </w:r>
      <w:r w:rsidRPr="00B7082C">
        <w:rPr>
          <w:b/>
          <w:lang w:eastAsia="ja-JP"/>
        </w:rPr>
        <w:t xml:space="preserve"> </w:t>
      </w:r>
      <w:r>
        <w:rPr>
          <w:lang w:val="en-US" w:eastAsia="ja-JP"/>
        </w:rPr>
        <w:t>L</w:t>
      </w:r>
      <w:r>
        <w:rPr>
          <w:lang w:eastAsia="ja-JP"/>
        </w:rPr>
        <w:t>-гистидин – 43.5</w:t>
      </w:r>
      <w:r w:rsidRPr="00B7082C">
        <w:rPr>
          <w:lang w:eastAsia="ja-JP"/>
        </w:rPr>
        <w:t xml:space="preserve"> мг</w:t>
      </w:r>
      <w:r>
        <w:rPr>
          <w:lang w:eastAsia="ja-JP"/>
        </w:rPr>
        <w:t>, уксусная кислота ледяная – 9.2</w:t>
      </w:r>
      <w:r w:rsidRPr="00B7082C">
        <w:rPr>
          <w:lang w:eastAsia="ja-JP"/>
        </w:rPr>
        <w:t xml:space="preserve"> мг</w:t>
      </w:r>
      <w:r>
        <w:rPr>
          <w:lang w:eastAsia="ja-JP"/>
        </w:rPr>
        <w:t>, сахароза – 575.1</w:t>
      </w:r>
      <w:r w:rsidRPr="00B7082C">
        <w:rPr>
          <w:lang w:eastAsia="ja-JP"/>
        </w:rPr>
        <w:t xml:space="preserve"> мг</w:t>
      </w:r>
      <w:r w:rsidR="00205446">
        <w:rPr>
          <w:lang w:eastAsia="ja-JP"/>
        </w:rPr>
        <w:t>, полисорбат 20 – 2.8</w:t>
      </w:r>
      <w:r w:rsidRPr="00B7082C">
        <w:rPr>
          <w:lang w:eastAsia="ja-JP"/>
        </w:rPr>
        <w:t xml:space="preserve"> м</w:t>
      </w:r>
      <w:r w:rsidR="00205446">
        <w:rPr>
          <w:lang w:eastAsia="ja-JP"/>
        </w:rPr>
        <w:t>г, вода для инъекций до 14</w:t>
      </w:r>
      <w:r w:rsidRPr="00B7082C">
        <w:rPr>
          <w:lang w:eastAsia="ja-JP"/>
        </w:rPr>
        <w:t xml:space="preserve"> мл.</w:t>
      </w:r>
    </w:p>
    <w:p w14:paraId="467BA8D6" w14:textId="77777777" w:rsidR="00205446" w:rsidRPr="00B7082C" w:rsidRDefault="00205446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>
        <w:rPr>
          <w:lang w:eastAsia="ja-JP"/>
        </w:rPr>
        <w:t xml:space="preserve">Концентрация </w:t>
      </w:r>
      <w:proofErr w:type="spellStart"/>
      <w:r>
        <w:rPr>
          <w:lang w:eastAsia="ja-JP"/>
        </w:rPr>
        <w:t>пертузумаба</w:t>
      </w:r>
      <w:proofErr w:type="spellEnd"/>
      <w:r>
        <w:rPr>
          <w:lang w:eastAsia="ja-JP"/>
        </w:rPr>
        <w:t xml:space="preserve"> 30 мг/мл.</w:t>
      </w:r>
    </w:p>
    <w:p w14:paraId="1108FB26" w14:textId="77777777" w:rsidR="00B7082C" w:rsidRPr="007A66BD" w:rsidRDefault="00B7082C" w:rsidP="00C957E2">
      <w:pPr>
        <w:suppressAutoHyphens/>
        <w:spacing w:line="360" w:lineRule="auto"/>
      </w:pPr>
    </w:p>
    <w:p w14:paraId="209791BC" w14:textId="77777777" w:rsidR="008829D0" w:rsidRPr="007A66BD" w:rsidRDefault="00207CCC" w:rsidP="00C957E2">
      <w:pPr>
        <w:suppressAutoHyphens/>
        <w:spacing w:line="360" w:lineRule="auto"/>
        <w:ind w:right="-86"/>
        <w:rPr>
          <w:b/>
          <w:bCs/>
        </w:rPr>
      </w:pPr>
      <w:r w:rsidRPr="007A66BD">
        <w:rPr>
          <w:b/>
          <w:bCs/>
        </w:rPr>
        <w:t>Описание</w:t>
      </w:r>
    </w:p>
    <w:p w14:paraId="71BEA439" w14:textId="77777777" w:rsidR="00752C6D" w:rsidRDefault="00205446" w:rsidP="00C957E2">
      <w:pPr>
        <w:suppressAutoHyphens/>
        <w:spacing w:line="360" w:lineRule="auto"/>
        <w:ind w:left="3800" w:hanging="3800"/>
        <w:outlineLvl w:val="0"/>
        <w:rPr>
          <w:bCs/>
          <w:kern w:val="36"/>
        </w:rPr>
      </w:pPr>
      <w:r w:rsidRPr="00205446">
        <w:rPr>
          <w:bCs/>
          <w:kern w:val="36"/>
        </w:rPr>
        <w:t>Прозрачная или опалесцирующая бесцветная или слегка коричневатого цвета жидкость.</w:t>
      </w:r>
    </w:p>
    <w:p w14:paraId="39AF1120" w14:textId="77777777" w:rsidR="00205446" w:rsidRPr="00205446" w:rsidRDefault="00205446" w:rsidP="00C957E2">
      <w:pPr>
        <w:suppressAutoHyphens/>
        <w:spacing w:line="360" w:lineRule="auto"/>
        <w:ind w:left="3800" w:hanging="3800"/>
        <w:outlineLvl w:val="0"/>
        <w:rPr>
          <w:bCs/>
          <w:kern w:val="36"/>
        </w:rPr>
      </w:pPr>
    </w:p>
    <w:p w14:paraId="0C30BA31" w14:textId="77777777" w:rsidR="008829D0" w:rsidRPr="007A66BD" w:rsidRDefault="008829D0" w:rsidP="00C957E2">
      <w:pPr>
        <w:suppressAutoHyphens/>
        <w:spacing w:line="360" w:lineRule="auto"/>
        <w:ind w:left="3800" w:hanging="3800"/>
        <w:outlineLvl w:val="0"/>
        <w:rPr>
          <w:b/>
          <w:bCs/>
          <w:kern w:val="36"/>
        </w:rPr>
      </w:pPr>
      <w:r w:rsidRPr="007A66BD">
        <w:rPr>
          <w:b/>
          <w:bCs/>
          <w:kern w:val="36"/>
        </w:rPr>
        <w:t>Фармакотерапевтическая группа</w:t>
      </w:r>
    </w:p>
    <w:p w14:paraId="44639ACE" w14:textId="77777777" w:rsidR="008A7EBF" w:rsidRDefault="00802C81" w:rsidP="00C957E2">
      <w:pPr>
        <w:spacing w:line="360" w:lineRule="auto"/>
        <w:rPr>
          <w:lang w:eastAsia="ja-JP"/>
        </w:rPr>
      </w:pPr>
      <w:r>
        <w:rPr>
          <w:lang w:eastAsia="ja-JP"/>
        </w:rPr>
        <w:t xml:space="preserve">Противоопухолевое средство, </w:t>
      </w:r>
      <w:r w:rsidR="006B3128" w:rsidRPr="00C61CF9">
        <w:rPr>
          <w:lang w:eastAsia="ja-JP"/>
        </w:rPr>
        <w:t>антитела</w:t>
      </w:r>
      <w:r w:rsidR="00C61CF9" w:rsidRPr="00C61CF9">
        <w:rPr>
          <w:lang w:eastAsia="ja-JP"/>
        </w:rPr>
        <w:t xml:space="preserve"> моноклональные</w:t>
      </w:r>
      <w:r w:rsidR="00C61CF9">
        <w:rPr>
          <w:lang w:eastAsia="ja-JP"/>
        </w:rPr>
        <w:t>.</w:t>
      </w:r>
    </w:p>
    <w:p w14:paraId="1E3FD52B" w14:textId="77777777" w:rsidR="009329BB" w:rsidRPr="00570F5C" w:rsidRDefault="009329BB" w:rsidP="00C957E2">
      <w:pPr>
        <w:spacing w:line="360" w:lineRule="auto"/>
        <w:rPr>
          <w:lang w:eastAsia="ja-JP"/>
        </w:rPr>
      </w:pPr>
    </w:p>
    <w:p w14:paraId="640A9D58" w14:textId="77777777" w:rsidR="009329BB" w:rsidRPr="00570F5C" w:rsidRDefault="006B3128" w:rsidP="00C957E2">
      <w:pPr>
        <w:spacing w:line="360" w:lineRule="auto"/>
        <w:rPr>
          <w:b/>
          <w:lang w:eastAsia="ja-JP"/>
        </w:rPr>
      </w:pPr>
      <w:r w:rsidRPr="009329BB">
        <w:rPr>
          <w:b/>
          <w:lang w:eastAsia="ja-JP"/>
        </w:rPr>
        <w:t>Код АТХ</w:t>
      </w:r>
      <w:r w:rsidR="00BD0F84" w:rsidRPr="009329BB">
        <w:rPr>
          <w:b/>
          <w:lang w:eastAsia="ja-JP"/>
        </w:rPr>
        <w:t xml:space="preserve"> </w:t>
      </w:r>
    </w:p>
    <w:p w14:paraId="3C36A2BC" w14:textId="7ACF1D2C" w:rsidR="006B3128" w:rsidRPr="0045384B" w:rsidRDefault="001348A2" w:rsidP="00C957E2">
      <w:pPr>
        <w:spacing w:line="360" w:lineRule="auto"/>
        <w:rPr>
          <w:lang w:eastAsia="ja-JP"/>
        </w:rPr>
      </w:pPr>
      <w:r w:rsidRPr="008E18D8">
        <w:t>L</w:t>
      </w:r>
      <w:r w:rsidRPr="007A74EA">
        <w:t>01</w:t>
      </w:r>
      <w:r w:rsidRPr="008E18D8">
        <w:t>XC</w:t>
      </w:r>
      <w:r>
        <w:t>1</w:t>
      </w:r>
      <w:r w:rsidRPr="007A74EA">
        <w:t>3</w:t>
      </w:r>
    </w:p>
    <w:p w14:paraId="170DCE3B" w14:textId="77777777" w:rsidR="006B3128" w:rsidRPr="007A66BD" w:rsidRDefault="006B3128" w:rsidP="00C957E2">
      <w:pPr>
        <w:spacing w:line="360" w:lineRule="auto"/>
        <w:rPr>
          <w:b/>
          <w:lang w:eastAsia="ja-JP"/>
        </w:rPr>
      </w:pPr>
    </w:p>
    <w:p w14:paraId="07AD6F4D" w14:textId="77777777" w:rsidR="008829D0" w:rsidRPr="007A66BD" w:rsidRDefault="008829D0" w:rsidP="00C957E2">
      <w:pPr>
        <w:suppressAutoHyphens/>
        <w:spacing w:line="360" w:lineRule="auto"/>
        <w:rPr>
          <w:b/>
        </w:rPr>
      </w:pPr>
      <w:r w:rsidRPr="007A66BD">
        <w:rPr>
          <w:b/>
        </w:rPr>
        <w:t>Фармакологические свойства</w:t>
      </w:r>
    </w:p>
    <w:p w14:paraId="2393837D" w14:textId="77777777" w:rsidR="008829D0" w:rsidRPr="007A66BD" w:rsidRDefault="008829D0" w:rsidP="00C957E2">
      <w:pPr>
        <w:suppressAutoHyphens/>
        <w:spacing w:line="360" w:lineRule="auto"/>
        <w:rPr>
          <w:b/>
          <w:i/>
        </w:rPr>
      </w:pPr>
      <w:r w:rsidRPr="007A66BD">
        <w:rPr>
          <w:b/>
          <w:i/>
        </w:rPr>
        <w:t xml:space="preserve">Фармакодинамика </w:t>
      </w:r>
    </w:p>
    <w:p w14:paraId="6D2813D2" w14:textId="77777777" w:rsidR="007E4D22" w:rsidRPr="007A66BD" w:rsidRDefault="007E4D22" w:rsidP="00C957E2">
      <w:pPr>
        <w:suppressLineNumbers/>
        <w:spacing w:line="360" w:lineRule="auto"/>
        <w:rPr>
          <w:noProof/>
          <w:color w:val="000000"/>
          <w:u w:val="single"/>
        </w:rPr>
      </w:pPr>
      <w:r w:rsidRPr="007A66BD">
        <w:rPr>
          <w:rFonts w:eastAsia="Batang"/>
          <w:color w:val="000000"/>
          <w:u w:val="single"/>
        </w:rPr>
        <w:t>Механизм действия</w:t>
      </w:r>
      <w:bookmarkStart w:id="0" w:name="_GoBack"/>
      <w:bookmarkEnd w:id="0"/>
    </w:p>
    <w:p w14:paraId="358D4F15" w14:textId="77777777" w:rsidR="00C275EA" w:rsidRPr="00C275EA" w:rsidRDefault="00A311AB" w:rsidP="00C957E2">
      <w:pPr>
        <w:suppressLineNumbers/>
        <w:spacing w:line="360" w:lineRule="auto"/>
      </w:pPr>
      <w:proofErr w:type="spellStart"/>
      <w:r>
        <w:lastRenderedPageBreak/>
        <w:t>П</w:t>
      </w:r>
      <w:r w:rsidR="00AC5E0E">
        <w:t>ертузумаб</w:t>
      </w:r>
      <w:proofErr w:type="spellEnd"/>
      <w:r w:rsidR="00AC5E0E" w:rsidRPr="005D657A">
        <w:t xml:space="preserve"> представляет собой рекомбин</w:t>
      </w:r>
      <w:r w:rsidR="005771F1">
        <w:t xml:space="preserve">антные </w:t>
      </w:r>
      <w:proofErr w:type="spellStart"/>
      <w:r w:rsidR="005771F1">
        <w:t>гуманизированны</w:t>
      </w:r>
      <w:r w:rsidR="00AC5E0E" w:rsidRPr="005D657A">
        <w:t>е</w:t>
      </w:r>
      <w:proofErr w:type="spellEnd"/>
      <w:r w:rsidR="00AC5E0E" w:rsidRPr="005D657A">
        <w:t xml:space="preserve"> моноклональные антитела, </w:t>
      </w:r>
      <w:r w:rsidR="009F2E32">
        <w:t>которые избирательно взаимодействуют с</w:t>
      </w:r>
      <w:r w:rsidR="00AC5E0E" w:rsidRPr="005D657A">
        <w:t xml:space="preserve"> </w:t>
      </w:r>
      <w:r w:rsidR="00695D1F">
        <w:t>отвечающ</w:t>
      </w:r>
      <w:r w:rsidR="009F2E32">
        <w:t>им</w:t>
      </w:r>
      <w:r w:rsidR="004168D3">
        <w:t xml:space="preserve"> за </w:t>
      </w:r>
      <w:proofErr w:type="spellStart"/>
      <w:r w:rsidR="004168D3">
        <w:t>димеризацию</w:t>
      </w:r>
      <w:proofErr w:type="spellEnd"/>
      <w:r w:rsidR="004168D3">
        <w:t xml:space="preserve"> </w:t>
      </w:r>
      <w:r w:rsidR="00695D1F">
        <w:t>внеклеточн</w:t>
      </w:r>
      <w:r w:rsidR="009F2E32">
        <w:t>ы</w:t>
      </w:r>
      <w:r w:rsidR="00AC5E0E" w:rsidRPr="005D657A">
        <w:t>м</w:t>
      </w:r>
      <w:r w:rsidR="00695D1F">
        <w:t xml:space="preserve"> </w:t>
      </w:r>
      <w:proofErr w:type="spellStart"/>
      <w:r w:rsidR="00AE0884">
        <w:t>суб</w:t>
      </w:r>
      <w:r w:rsidR="00695D1F">
        <w:t>домен</w:t>
      </w:r>
      <w:r w:rsidR="009F2E32">
        <w:t>ом</w:t>
      </w:r>
      <w:proofErr w:type="spellEnd"/>
      <w:r w:rsidR="00AE0884">
        <w:t xml:space="preserve"> </w:t>
      </w:r>
      <w:r w:rsidR="00AE0884">
        <w:rPr>
          <w:lang w:val="en-US"/>
        </w:rPr>
        <w:t>II</w:t>
      </w:r>
      <w:r w:rsidR="009D7CE5" w:rsidRPr="00007C81">
        <w:t xml:space="preserve"> </w:t>
      </w:r>
      <w:r w:rsidR="003A6BB2">
        <w:rPr>
          <w:lang w:val="en-US"/>
        </w:rPr>
        <w:t>HER</w:t>
      </w:r>
      <w:r w:rsidR="009D7CE5" w:rsidRPr="00007C81">
        <w:t>2 (</w:t>
      </w:r>
      <w:r w:rsidR="00AC5E0E" w:rsidRPr="005D657A">
        <w:t>рецептор</w:t>
      </w:r>
      <w:r w:rsidR="00451519">
        <w:t>а</w:t>
      </w:r>
      <w:r w:rsidR="00AC5E0E" w:rsidRPr="005D657A">
        <w:t xml:space="preserve"> эпидермального фактора роста человека 2</w:t>
      </w:r>
      <w:r w:rsidR="00AC5E0E">
        <w:t>-го</w:t>
      </w:r>
      <w:r w:rsidR="00AC5E0E" w:rsidRPr="005D657A">
        <w:t xml:space="preserve"> типа</w:t>
      </w:r>
      <w:r w:rsidR="003A6BB2" w:rsidRPr="003A6BB2">
        <w:t>)</w:t>
      </w:r>
      <w:r w:rsidR="005771F1">
        <w:t xml:space="preserve">. </w:t>
      </w:r>
      <w:r w:rsidR="00695D1F">
        <w:t xml:space="preserve">Связывание </w:t>
      </w:r>
      <w:proofErr w:type="spellStart"/>
      <w:r w:rsidR="00695D1F">
        <w:t>пертузумаба</w:t>
      </w:r>
      <w:proofErr w:type="spellEnd"/>
      <w:r w:rsidR="00695D1F">
        <w:t xml:space="preserve"> с </w:t>
      </w:r>
      <w:proofErr w:type="spellStart"/>
      <w:r w:rsidR="00695D1F">
        <w:t>субдоменом</w:t>
      </w:r>
      <w:proofErr w:type="spellEnd"/>
      <w:r w:rsidR="00695D1F">
        <w:t xml:space="preserve"> </w:t>
      </w:r>
      <w:r w:rsidR="00695D1F">
        <w:rPr>
          <w:lang w:val="en-US"/>
        </w:rPr>
        <w:t>II</w:t>
      </w:r>
      <w:r w:rsidR="00737133">
        <w:t xml:space="preserve"> </w:t>
      </w:r>
      <w:r w:rsidR="000D2C78">
        <w:t>блокирует</w:t>
      </w:r>
      <w:r w:rsidR="003A6BB2">
        <w:t xml:space="preserve"> процесс </w:t>
      </w:r>
      <w:proofErr w:type="spellStart"/>
      <w:r w:rsidR="005771F1">
        <w:t>лиганд</w:t>
      </w:r>
      <w:proofErr w:type="spellEnd"/>
      <w:r w:rsidR="005771F1">
        <w:t>-зависим</w:t>
      </w:r>
      <w:r w:rsidR="003A6BB2">
        <w:t>ой</w:t>
      </w:r>
      <w:r w:rsidR="005771F1">
        <w:t xml:space="preserve"> </w:t>
      </w:r>
      <w:proofErr w:type="spellStart"/>
      <w:r w:rsidR="005771F1">
        <w:t>гетеродимеризац</w:t>
      </w:r>
      <w:r w:rsidR="003A6BB2">
        <w:t>ии</w:t>
      </w:r>
      <w:proofErr w:type="spellEnd"/>
      <w:r w:rsidR="00AC5E0E" w:rsidRPr="005D657A">
        <w:t xml:space="preserve"> HER2 с другими белками семейства </w:t>
      </w:r>
      <w:r w:rsidR="00AC5E0E">
        <w:t xml:space="preserve">HER, включая </w:t>
      </w:r>
      <w:r w:rsidR="003A6BB2" w:rsidRPr="00417FA3">
        <w:t>EGFR</w:t>
      </w:r>
      <w:r w:rsidR="003A6BB2" w:rsidRPr="00250B2E">
        <w:t xml:space="preserve"> (</w:t>
      </w:r>
      <w:r w:rsidR="00AC5E0E" w:rsidRPr="00417FA3">
        <w:t>рецепто</w:t>
      </w:r>
      <w:r w:rsidR="003A6BB2" w:rsidRPr="00417FA3">
        <w:t>р</w:t>
      </w:r>
      <w:r w:rsidR="003A6BB2">
        <w:t xml:space="preserve"> эпидермального фактора роста</w:t>
      </w:r>
      <w:r w:rsidR="00B66F63" w:rsidRPr="00D44534">
        <w:t xml:space="preserve"> </w:t>
      </w:r>
      <w:r w:rsidR="00B66F63">
        <w:t>человека</w:t>
      </w:r>
      <w:r w:rsidR="003A6BB2">
        <w:t>)</w:t>
      </w:r>
      <w:r w:rsidR="00AC5E0E">
        <w:t>, HER3</w:t>
      </w:r>
      <w:r w:rsidR="00DB6A2C">
        <w:t xml:space="preserve"> (</w:t>
      </w:r>
      <w:r w:rsidR="00DB6A2C" w:rsidRPr="005D657A">
        <w:t>рецептор эпидерм</w:t>
      </w:r>
      <w:r w:rsidR="00DB6A2C">
        <w:t>ального фактора роста человека 3-го</w:t>
      </w:r>
      <w:r w:rsidR="00DB6A2C" w:rsidRPr="005D657A">
        <w:t xml:space="preserve"> типа</w:t>
      </w:r>
      <w:r w:rsidR="00DB6A2C">
        <w:t>)</w:t>
      </w:r>
      <w:r w:rsidR="00AC5E0E">
        <w:t xml:space="preserve"> и HER4</w:t>
      </w:r>
      <w:r w:rsidR="00DB6A2C">
        <w:t xml:space="preserve"> (</w:t>
      </w:r>
      <w:r w:rsidR="00DB6A2C" w:rsidRPr="005D657A">
        <w:t>рецептор эпидерм</w:t>
      </w:r>
      <w:r w:rsidR="00DB6A2C">
        <w:t>ального фактора роста человека 4-го</w:t>
      </w:r>
      <w:r w:rsidR="00DB6A2C" w:rsidRPr="005D657A">
        <w:t xml:space="preserve"> типа</w:t>
      </w:r>
      <w:r w:rsidR="00DB6A2C">
        <w:t>)</w:t>
      </w:r>
      <w:r w:rsidR="00AC5E0E">
        <w:t>.</w:t>
      </w:r>
      <w:r w:rsidR="00AC5E0E" w:rsidRPr="005D657A">
        <w:t xml:space="preserve"> </w:t>
      </w:r>
      <w:r w:rsidR="005771F1">
        <w:t xml:space="preserve">Таким образом, </w:t>
      </w:r>
      <w:proofErr w:type="spellStart"/>
      <w:r w:rsidR="005771F1">
        <w:t>п</w:t>
      </w:r>
      <w:r w:rsidR="00AC5E0E">
        <w:t>ертузумаб</w:t>
      </w:r>
      <w:proofErr w:type="spellEnd"/>
      <w:r w:rsidR="00AC5E0E">
        <w:t xml:space="preserve"> </w:t>
      </w:r>
      <w:r w:rsidR="00AC5E0E" w:rsidRPr="005D657A">
        <w:t>ингибирует</w:t>
      </w:r>
      <w:r w:rsidR="00AC5E0E" w:rsidRPr="000A7A1A">
        <w:t xml:space="preserve"> </w:t>
      </w:r>
      <w:proofErr w:type="spellStart"/>
      <w:r w:rsidR="00AC5E0E">
        <w:t>лиганд</w:t>
      </w:r>
      <w:proofErr w:type="spellEnd"/>
      <w:r w:rsidR="00AC5E0E">
        <w:t>-инициирован</w:t>
      </w:r>
      <w:r w:rsidR="009B7FC3">
        <w:t>н</w:t>
      </w:r>
      <w:r w:rsidR="00AC5E0E">
        <w:t>ую передачу</w:t>
      </w:r>
      <w:r w:rsidR="00AC5E0E" w:rsidRPr="005D657A">
        <w:t xml:space="preserve"> внутриклеточны</w:t>
      </w:r>
      <w:r w:rsidR="00AC5E0E">
        <w:t>х</w:t>
      </w:r>
      <w:r w:rsidR="00AC5E0E" w:rsidRPr="005D657A">
        <w:t xml:space="preserve"> сигнал</w:t>
      </w:r>
      <w:r w:rsidR="00744B54">
        <w:t xml:space="preserve">ов </w:t>
      </w:r>
      <w:r w:rsidR="009B7FC3">
        <w:t>по</w:t>
      </w:r>
      <w:r w:rsidR="00744B54">
        <w:t xml:space="preserve"> дв</w:t>
      </w:r>
      <w:r w:rsidR="009B7FC3">
        <w:t>ум</w:t>
      </w:r>
      <w:r w:rsidR="00744B54">
        <w:t xml:space="preserve"> основны</w:t>
      </w:r>
      <w:r w:rsidR="009B7FC3">
        <w:t>м сигнальным путям</w:t>
      </w:r>
      <w:r w:rsidR="00AC5E0E">
        <w:t>:</w:t>
      </w:r>
      <w:r w:rsidR="00744B54">
        <w:t xml:space="preserve"> путь</w:t>
      </w:r>
      <w:r w:rsidR="00D6121F">
        <w:t xml:space="preserve"> </w:t>
      </w:r>
      <w:proofErr w:type="spellStart"/>
      <w:r w:rsidR="00AC5E0E" w:rsidRPr="005D657A">
        <w:t>митоген</w:t>
      </w:r>
      <w:proofErr w:type="spellEnd"/>
      <w:r w:rsidR="00AC5E0E" w:rsidRPr="005D657A">
        <w:t>-активированной протеинкиназ</w:t>
      </w:r>
      <w:r w:rsidR="00744B54">
        <w:t>ы</w:t>
      </w:r>
      <w:r w:rsidR="00AC5E0E" w:rsidRPr="005D657A">
        <w:t xml:space="preserve"> (МАР) и </w:t>
      </w:r>
      <w:r w:rsidR="00744B54">
        <w:t xml:space="preserve">путь </w:t>
      </w:r>
      <w:r w:rsidR="00AC5E0E" w:rsidRPr="005D657A">
        <w:t>фосфоинозитид-3-киназ</w:t>
      </w:r>
      <w:r w:rsidR="00744B54">
        <w:t>ы</w:t>
      </w:r>
      <w:r w:rsidR="00AC5E0E" w:rsidRPr="005D657A">
        <w:t xml:space="preserve"> (PI3K). </w:t>
      </w:r>
      <w:r w:rsidR="00AC5E0E">
        <w:t>Угнетение</w:t>
      </w:r>
      <w:r w:rsidR="00AC5E0E" w:rsidRPr="005D657A">
        <w:t xml:space="preserve"> данных</w:t>
      </w:r>
      <w:r w:rsidR="00AC5E0E">
        <w:t xml:space="preserve"> </w:t>
      </w:r>
      <w:r w:rsidR="00B8508F">
        <w:t>сигнальных путей</w:t>
      </w:r>
      <w:r w:rsidR="004168D3">
        <w:t xml:space="preserve"> </w:t>
      </w:r>
      <w:r w:rsidR="00AC5E0E">
        <w:t>способно привести</w:t>
      </w:r>
      <w:r w:rsidR="00D6121F">
        <w:t xml:space="preserve"> </w:t>
      </w:r>
      <w:r w:rsidR="00AC5E0E" w:rsidRPr="005D657A">
        <w:t xml:space="preserve">к остановке роста клеток и </w:t>
      </w:r>
      <w:proofErr w:type="spellStart"/>
      <w:r w:rsidR="00AC5E0E" w:rsidRPr="005D657A">
        <w:t>апоптозу</w:t>
      </w:r>
      <w:proofErr w:type="spellEnd"/>
      <w:r w:rsidR="00AC5E0E">
        <w:t>,</w:t>
      </w:r>
      <w:r w:rsidR="00AC5E0E" w:rsidRPr="00234D7F">
        <w:t xml:space="preserve"> </w:t>
      </w:r>
      <w:r w:rsidR="00AC5E0E" w:rsidRPr="005D657A">
        <w:t>соответственно. Кроме то</w:t>
      </w:r>
      <w:r w:rsidR="00744B54">
        <w:t>го,</w:t>
      </w:r>
      <w:r w:rsidR="00AC5E0E">
        <w:t xml:space="preserve"> </w:t>
      </w:r>
      <w:proofErr w:type="spellStart"/>
      <w:r w:rsidR="00AC5E0E">
        <w:t>пертузумаб</w:t>
      </w:r>
      <w:proofErr w:type="spellEnd"/>
      <w:r w:rsidR="00AC5E0E" w:rsidRPr="005D657A">
        <w:t xml:space="preserve"> </w:t>
      </w:r>
      <w:r w:rsidR="00BC2BE6">
        <w:t>способствует активации</w:t>
      </w:r>
      <w:r w:rsidR="00BC2BE6" w:rsidRPr="005D657A">
        <w:t xml:space="preserve"> </w:t>
      </w:r>
      <w:r w:rsidR="00AC5E0E" w:rsidRPr="005D657A">
        <w:t>антитело</w:t>
      </w:r>
      <w:r w:rsidR="00AC5E0E">
        <w:t>-</w:t>
      </w:r>
      <w:r w:rsidR="00AC5E0E" w:rsidRPr="005D657A">
        <w:t>зависим</w:t>
      </w:r>
      <w:r w:rsidR="00BC2BE6">
        <w:t>ой</w:t>
      </w:r>
      <w:r w:rsidR="00AC5E0E" w:rsidRPr="005D657A">
        <w:t xml:space="preserve"> кл</w:t>
      </w:r>
      <w:r w:rsidR="0035090E">
        <w:t>еточн</w:t>
      </w:r>
      <w:r w:rsidR="00BC2BE6">
        <w:t>ой</w:t>
      </w:r>
      <w:r w:rsidR="0035090E">
        <w:t xml:space="preserve"> цитотоксичност</w:t>
      </w:r>
      <w:r w:rsidR="00BC2BE6">
        <w:t>и</w:t>
      </w:r>
      <w:r w:rsidR="0035090E">
        <w:t xml:space="preserve"> (АЗКЦ).</w:t>
      </w:r>
    </w:p>
    <w:p w14:paraId="091FB2C5" w14:textId="77777777" w:rsidR="00C275EA" w:rsidRPr="00052826" w:rsidRDefault="00C275EA" w:rsidP="00C957E2">
      <w:pPr>
        <w:suppressLineNumbers/>
        <w:spacing w:line="360" w:lineRule="auto"/>
      </w:pPr>
      <w:r>
        <w:t xml:space="preserve">Молекулярная масса </w:t>
      </w:r>
      <w:proofErr w:type="spellStart"/>
      <w:r>
        <w:t>пертузумаба</w:t>
      </w:r>
      <w:proofErr w:type="spellEnd"/>
      <w:r>
        <w:t xml:space="preserve"> составляет около 148</w:t>
      </w:r>
      <w:r w:rsidRPr="008A60BB">
        <w:t xml:space="preserve"> </w:t>
      </w:r>
      <w:r w:rsidR="00F83D77">
        <w:t>кДа</w:t>
      </w:r>
      <w:r w:rsidR="00EC7180">
        <w:t>, и ожидается, что</w:t>
      </w:r>
      <w:r w:rsidR="00540D4F" w:rsidRPr="008A60BB">
        <w:t>,</w:t>
      </w:r>
      <w:r w:rsidR="00EC7180">
        <w:t xml:space="preserve"> как и другие моноклональные антитела, </w:t>
      </w:r>
      <w:proofErr w:type="spellStart"/>
      <w:r w:rsidR="00EC7180">
        <w:t>пертузумаб</w:t>
      </w:r>
      <w:proofErr w:type="spellEnd"/>
      <w:r w:rsidR="00EC7180">
        <w:t xml:space="preserve"> практически не проходит через гематоэнцефалический барьер. </w:t>
      </w:r>
    </w:p>
    <w:p w14:paraId="2019F6C0" w14:textId="77777777" w:rsidR="00D519B7" w:rsidRDefault="00865758" w:rsidP="00C957E2">
      <w:pPr>
        <w:suppressLineNumbers/>
        <w:spacing w:line="360" w:lineRule="auto"/>
      </w:pPr>
      <w:proofErr w:type="spellStart"/>
      <w:r w:rsidRPr="009A478C">
        <w:t>Пертузумаб</w:t>
      </w:r>
      <w:proofErr w:type="spellEnd"/>
      <w:r w:rsidR="00D519B7" w:rsidRPr="009A478C">
        <w:t xml:space="preserve"> </w:t>
      </w:r>
      <w:r w:rsidR="00F04703" w:rsidRPr="009A478C">
        <w:t xml:space="preserve">в виде </w:t>
      </w:r>
      <w:proofErr w:type="spellStart"/>
      <w:r w:rsidR="00250B2E" w:rsidRPr="00927E3B">
        <w:t>моноагента</w:t>
      </w:r>
      <w:proofErr w:type="spellEnd"/>
      <w:r w:rsidR="00250B2E" w:rsidRPr="00927E3B">
        <w:t xml:space="preserve"> </w:t>
      </w:r>
      <w:r w:rsidR="00D519B7" w:rsidRPr="009A478C">
        <w:t xml:space="preserve">ингибирует пролиферацию клеток опухоли человека. </w:t>
      </w:r>
      <w:r w:rsidR="00F04703" w:rsidRPr="009A478C">
        <w:t xml:space="preserve">Показано усиление противоопухолевой активности </w:t>
      </w:r>
      <w:proofErr w:type="spellStart"/>
      <w:r w:rsidR="00F04703" w:rsidRPr="009A478C">
        <w:t>пертузумаба</w:t>
      </w:r>
      <w:proofErr w:type="spellEnd"/>
      <w:r w:rsidR="00F04703" w:rsidRPr="009A478C">
        <w:t xml:space="preserve"> на моделях </w:t>
      </w:r>
      <w:proofErr w:type="spellStart"/>
      <w:r w:rsidR="00F04703" w:rsidRPr="009A478C">
        <w:t>ксенотрансплантатов</w:t>
      </w:r>
      <w:proofErr w:type="spellEnd"/>
      <w:r w:rsidR="00F04703" w:rsidRPr="009A478C">
        <w:t xml:space="preserve"> с </w:t>
      </w:r>
      <w:proofErr w:type="spellStart"/>
      <w:r w:rsidR="00F04703" w:rsidRPr="009A478C">
        <w:t>гиперэкспрессией</w:t>
      </w:r>
      <w:proofErr w:type="spellEnd"/>
      <w:r w:rsidR="00F04703" w:rsidRPr="009A478C">
        <w:t xml:space="preserve"> </w:t>
      </w:r>
      <w:r w:rsidR="00F04703" w:rsidRPr="009A478C">
        <w:rPr>
          <w:lang w:val="en-US"/>
        </w:rPr>
        <w:t>HER</w:t>
      </w:r>
      <w:r w:rsidR="00F04703" w:rsidRPr="009A478C">
        <w:t xml:space="preserve">2 при его применении в комбинации с </w:t>
      </w:r>
      <w:proofErr w:type="spellStart"/>
      <w:r w:rsidR="00E856AD">
        <w:t>трастузумаб</w:t>
      </w:r>
      <w:r w:rsidR="00B67D09">
        <w:t>ом</w:t>
      </w:r>
      <w:proofErr w:type="spellEnd"/>
      <w:r w:rsidR="00D519B7" w:rsidRPr="009A478C">
        <w:t>.</w:t>
      </w:r>
      <w:r w:rsidR="00D519B7" w:rsidRPr="005D657A">
        <w:t xml:space="preserve"> </w:t>
      </w:r>
    </w:p>
    <w:p w14:paraId="1F1BECA8" w14:textId="77777777" w:rsidR="007E4D22" w:rsidRPr="00007C81" w:rsidRDefault="009D7CE5" w:rsidP="00C957E2">
      <w:pPr>
        <w:suppressLineNumbers/>
        <w:tabs>
          <w:tab w:val="num" w:pos="1411"/>
        </w:tabs>
        <w:autoSpaceDE w:val="0"/>
        <w:autoSpaceDN w:val="0"/>
        <w:adjustRightInd w:val="0"/>
        <w:spacing w:line="360" w:lineRule="auto"/>
        <w:rPr>
          <w:b/>
          <w:bCs/>
          <w:i/>
        </w:rPr>
      </w:pPr>
      <w:r w:rsidRPr="00007C81">
        <w:rPr>
          <w:b/>
          <w:bCs/>
          <w:i/>
        </w:rPr>
        <w:t>Иммуногенность</w:t>
      </w:r>
    </w:p>
    <w:p w14:paraId="0D52B8C2" w14:textId="7FCCE342" w:rsidR="00292398" w:rsidRDefault="00292398" w:rsidP="00C957E2">
      <w:pPr>
        <w:suppressLineNumbers/>
        <w:autoSpaceDE w:val="0"/>
        <w:autoSpaceDN w:val="0"/>
        <w:adjustRightInd w:val="0"/>
        <w:spacing w:line="360" w:lineRule="auto"/>
      </w:pPr>
      <w:r>
        <w:t>У</w:t>
      </w:r>
      <w:r w:rsidR="00AE0884">
        <w:t xml:space="preserve"> 6.</w:t>
      </w:r>
      <w:r>
        <w:t>7</w:t>
      </w:r>
      <w:r w:rsidR="00AE0884">
        <w:t>% больных</w:t>
      </w:r>
      <w:r w:rsidR="004C2466">
        <w:t xml:space="preserve"> метастатическим раком молочной железы</w:t>
      </w:r>
      <w:r w:rsidR="00AE0884">
        <w:t xml:space="preserve">, получавших терапию </w:t>
      </w:r>
      <w:proofErr w:type="spellStart"/>
      <w:r w:rsidR="00E856AD">
        <w:t>трастузумаб</w:t>
      </w:r>
      <w:r w:rsidR="00B67D09">
        <w:t>ом</w:t>
      </w:r>
      <w:proofErr w:type="spellEnd"/>
      <w:r w:rsidR="00AE0884">
        <w:t xml:space="preserve"> </w:t>
      </w:r>
      <w:r w:rsidR="00942625">
        <w:t>в комбинации с</w:t>
      </w:r>
      <w:r w:rsidR="00512BAD">
        <w:t xml:space="preserve"> </w:t>
      </w:r>
      <w:proofErr w:type="spellStart"/>
      <w:r w:rsidR="00AE0884">
        <w:t>доцетакселом</w:t>
      </w:r>
      <w:proofErr w:type="spellEnd"/>
      <w:r w:rsidR="00C943B9">
        <w:t>,</w:t>
      </w:r>
      <w:r w:rsidR="00AE0884">
        <w:t xml:space="preserve"> и у </w:t>
      </w:r>
      <w:r>
        <w:t>3</w:t>
      </w:r>
      <w:r w:rsidR="00AE0884">
        <w:t>.</w:t>
      </w:r>
      <w:r>
        <w:t>3</w:t>
      </w:r>
      <w:r w:rsidR="00AE0884">
        <w:t>% больных</w:t>
      </w:r>
      <w:r w:rsidR="00C943B9">
        <w:t>,</w:t>
      </w:r>
      <w:r w:rsidR="00AE0884">
        <w:t xml:space="preserve"> получавших</w:t>
      </w:r>
      <w:r w:rsidR="00C943B9">
        <w:t xml:space="preserve"> </w:t>
      </w:r>
      <w:r w:rsidR="00E856AD">
        <w:t>трастузумаб</w:t>
      </w:r>
      <w:r w:rsidR="00C943B9">
        <w:t xml:space="preserve"> </w:t>
      </w:r>
      <w:r w:rsidR="00942625">
        <w:t xml:space="preserve">в комбинации с </w:t>
      </w:r>
      <w:proofErr w:type="spellStart"/>
      <w:r w:rsidR="00C943B9">
        <w:t>доцетаксел</w:t>
      </w:r>
      <w:r w:rsidR="00942625">
        <w:t>ом</w:t>
      </w:r>
      <w:proofErr w:type="spellEnd"/>
      <w:r w:rsidR="00942625">
        <w:t xml:space="preserve"> и </w:t>
      </w:r>
      <w:proofErr w:type="spellStart"/>
      <w:r w:rsidR="009F558C">
        <w:t>пертузумабом</w:t>
      </w:r>
      <w:proofErr w:type="spellEnd"/>
      <w:r w:rsidR="00937190">
        <w:t>, были обнаружены</w:t>
      </w:r>
      <w:r w:rsidR="00250B2E">
        <w:t xml:space="preserve"> </w:t>
      </w:r>
      <w:r w:rsidR="006A7FD2" w:rsidRPr="006A7FD2">
        <w:t>антитела</w:t>
      </w:r>
      <w:r>
        <w:t xml:space="preserve"> к препарату</w:t>
      </w:r>
      <w:r w:rsidR="00A25280">
        <w:t xml:space="preserve"> </w:t>
      </w:r>
      <w:proofErr w:type="spellStart"/>
      <w:r w:rsidR="00D40263">
        <w:t>Перьета</w:t>
      </w:r>
      <w:proofErr w:type="spellEnd"/>
      <w:r w:rsidR="00D40263" w:rsidRPr="00805CD1">
        <w:rPr>
          <w:vertAlign w:val="superscript"/>
        </w:rPr>
        <w:t>®</w:t>
      </w:r>
      <w:r w:rsidR="00937190" w:rsidRPr="003E6E6E">
        <w:t>.</w:t>
      </w:r>
      <w:r w:rsidR="00250B2E" w:rsidRPr="003E6E6E">
        <w:t xml:space="preserve"> </w:t>
      </w:r>
    </w:p>
    <w:p w14:paraId="3986A825" w14:textId="0E9EF239" w:rsidR="00AE0884" w:rsidRPr="00937190" w:rsidRDefault="00682379" w:rsidP="009D028F">
      <w:pPr>
        <w:suppressLineNumbers/>
        <w:autoSpaceDE w:val="0"/>
        <w:autoSpaceDN w:val="0"/>
        <w:adjustRightInd w:val="0"/>
        <w:spacing w:line="360" w:lineRule="auto"/>
      </w:pPr>
      <w:r w:rsidRPr="00CC2AA3">
        <w:t xml:space="preserve">На фоне </w:t>
      </w:r>
      <w:r w:rsidRPr="00CC2AA3">
        <w:rPr>
          <w:rFonts w:eastAsia="Batang"/>
          <w:iCs/>
          <w:color w:val="000000"/>
          <w:lang w:eastAsia="en-US"/>
        </w:rPr>
        <w:t>терапии</w:t>
      </w:r>
      <w:r w:rsidR="003A785A">
        <w:rPr>
          <w:rFonts w:eastAsia="Batang"/>
          <w:iCs/>
          <w:color w:val="000000"/>
          <w:lang w:eastAsia="en-US"/>
        </w:rPr>
        <w:t xml:space="preserve"> раннего рака молочной железы</w:t>
      </w:r>
      <w:r w:rsidRPr="00CC2AA3">
        <w:rPr>
          <w:rFonts w:eastAsia="Batang"/>
          <w:iCs/>
          <w:color w:val="000000"/>
          <w:lang w:eastAsia="en-US"/>
        </w:rPr>
        <w:t xml:space="preserve"> </w:t>
      </w:r>
      <w:r w:rsidRPr="00CC2AA3">
        <w:t xml:space="preserve">у </w:t>
      </w:r>
      <w:r w:rsidRPr="00A91D18">
        <w:t xml:space="preserve">4.1% </w:t>
      </w:r>
      <w:r>
        <w:t xml:space="preserve">пациентов, получавших </w:t>
      </w:r>
      <w:r w:rsidRPr="00A91D18">
        <w:rPr>
          <w:rFonts w:eastAsia="Batang"/>
        </w:rPr>
        <w:t xml:space="preserve">химиотерапию </w:t>
      </w:r>
      <w:proofErr w:type="spellStart"/>
      <w:r>
        <w:rPr>
          <w:rFonts w:eastAsia="Batang"/>
        </w:rPr>
        <w:t>доксорубицином</w:t>
      </w:r>
      <w:proofErr w:type="spellEnd"/>
      <w:r>
        <w:rPr>
          <w:rFonts w:eastAsia="Batang"/>
        </w:rPr>
        <w:t xml:space="preserve"> и </w:t>
      </w:r>
      <w:proofErr w:type="spellStart"/>
      <w:r>
        <w:rPr>
          <w:rFonts w:eastAsia="Batang"/>
        </w:rPr>
        <w:t>циклофосфамидом</w:t>
      </w:r>
      <w:proofErr w:type="spellEnd"/>
      <w:r>
        <w:rPr>
          <w:rFonts w:eastAsia="Batang"/>
        </w:rPr>
        <w:t xml:space="preserve"> </w:t>
      </w:r>
      <w:r w:rsidRPr="00A91D18">
        <w:rPr>
          <w:rFonts w:eastAsia="Batang"/>
        </w:rPr>
        <w:t xml:space="preserve">с сокращенными интервалами, а затем препарат </w:t>
      </w:r>
      <w:proofErr w:type="spellStart"/>
      <w:r w:rsidRPr="00A91D18">
        <w:rPr>
          <w:rFonts w:eastAsia="Batang"/>
        </w:rPr>
        <w:t>Перьета</w:t>
      </w:r>
      <w:proofErr w:type="spellEnd"/>
      <w:r w:rsidRPr="00A91D18">
        <w:rPr>
          <w:vertAlign w:val="superscript"/>
        </w:rPr>
        <w:t>®</w:t>
      </w:r>
      <w:r w:rsidRPr="004E2703">
        <w:t xml:space="preserve"> </w:t>
      </w:r>
      <w:r w:rsidRPr="00A91D18">
        <w:t xml:space="preserve">в комбинации с </w:t>
      </w:r>
      <w:proofErr w:type="spellStart"/>
      <w:r w:rsidRPr="00A91D18">
        <w:t>трастузумабом</w:t>
      </w:r>
      <w:proofErr w:type="spellEnd"/>
      <w:r w:rsidRPr="00A91D18">
        <w:t xml:space="preserve"> и </w:t>
      </w:r>
      <w:proofErr w:type="spellStart"/>
      <w:r w:rsidRPr="00A91D18">
        <w:t>паклитакселом</w:t>
      </w:r>
      <w:proofErr w:type="spellEnd"/>
      <w:r w:rsidR="009329BB">
        <w:t>,</w:t>
      </w:r>
      <w:r>
        <w:t xml:space="preserve"> или</w:t>
      </w:r>
      <w:r w:rsidRPr="00A91D18">
        <w:t xml:space="preserve"> получавших </w:t>
      </w:r>
      <w:r w:rsidRPr="00A91D18">
        <w:rPr>
          <w:rFonts w:eastAsia="Batang"/>
          <w:iCs/>
          <w:color w:val="000000"/>
          <w:lang w:eastAsia="en-US"/>
        </w:rPr>
        <w:t xml:space="preserve">терапию препаратом </w:t>
      </w:r>
      <w:proofErr w:type="spellStart"/>
      <w:r w:rsidRPr="00A91D18">
        <w:t>Перьета</w:t>
      </w:r>
      <w:proofErr w:type="spellEnd"/>
      <w:r w:rsidRPr="00A91D18">
        <w:rPr>
          <w:vertAlign w:val="superscript"/>
        </w:rPr>
        <w:t>®</w:t>
      </w:r>
      <w:r w:rsidR="009329BB">
        <w:t xml:space="preserve"> </w:t>
      </w:r>
      <w:r w:rsidR="005B5294">
        <w:rPr>
          <w:rFonts w:eastAsia="Batang"/>
          <w:iCs/>
          <w:color w:val="000000"/>
          <w:lang w:eastAsia="en-US"/>
        </w:rPr>
        <w:t xml:space="preserve">в комбинации с </w:t>
      </w:r>
      <w:proofErr w:type="spellStart"/>
      <w:r w:rsidRPr="00A91D18">
        <w:rPr>
          <w:rFonts w:eastAsia="Batang"/>
          <w:iCs/>
          <w:color w:val="000000"/>
          <w:lang w:eastAsia="en-US"/>
        </w:rPr>
        <w:t>трастузумабом</w:t>
      </w:r>
      <w:proofErr w:type="spellEnd"/>
      <w:r w:rsidRPr="00A91D18">
        <w:rPr>
          <w:rFonts w:eastAsia="Batang"/>
          <w:iCs/>
          <w:color w:val="000000"/>
          <w:lang w:eastAsia="en-US"/>
        </w:rPr>
        <w:t xml:space="preserve"> и </w:t>
      </w:r>
      <w:proofErr w:type="spellStart"/>
      <w:r w:rsidRPr="00A91D18">
        <w:rPr>
          <w:rFonts w:eastAsia="Batang"/>
          <w:iCs/>
          <w:color w:val="000000"/>
          <w:lang w:eastAsia="en-US"/>
        </w:rPr>
        <w:t>доцетакселом</w:t>
      </w:r>
      <w:proofErr w:type="spellEnd"/>
      <w:r w:rsidRPr="00A91D18">
        <w:rPr>
          <w:rFonts w:eastAsia="Batang"/>
          <w:iCs/>
          <w:color w:val="000000"/>
          <w:lang w:eastAsia="en-US"/>
        </w:rPr>
        <w:t xml:space="preserve"> в течение 4 циклов перед операцией, которым предшествовали 4 цикла терапии </w:t>
      </w:r>
      <w:proofErr w:type="spellStart"/>
      <w:r w:rsidRPr="00F200CA">
        <w:rPr>
          <w:rFonts w:eastAsia="Batang"/>
        </w:rPr>
        <w:t>фторурацилом</w:t>
      </w:r>
      <w:proofErr w:type="spellEnd"/>
      <w:r w:rsidRPr="00F200CA">
        <w:rPr>
          <w:rFonts w:eastAsia="Batang"/>
        </w:rPr>
        <w:t xml:space="preserve">, </w:t>
      </w:r>
      <w:proofErr w:type="spellStart"/>
      <w:r w:rsidRPr="00F200CA">
        <w:rPr>
          <w:rFonts w:eastAsia="Batang"/>
        </w:rPr>
        <w:t>эпирубицином</w:t>
      </w:r>
      <w:proofErr w:type="spellEnd"/>
      <w:r w:rsidRPr="00F200CA">
        <w:rPr>
          <w:rFonts w:eastAsia="Batang"/>
        </w:rPr>
        <w:t xml:space="preserve"> и </w:t>
      </w:r>
      <w:proofErr w:type="spellStart"/>
      <w:r w:rsidRPr="00F200CA">
        <w:rPr>
          <w:rFonts w:eastAsia="Batang"/>
        </w:rPr>
        <w:t>циклофосфамидом</w:t>
      </w:r>
      <w:proofErr w:type="spellEnd"/>
      <w:r w:rsidR="006D12B5">
        <w:rPr>
          <w:rFonts w:eastAsia="Batang"/>
        </w:rPr>
        <w:t>,</w:t>
      </w:r>
      <w:r>
        <w:rPr>
          <w:rFonts w:eastAsia="Batang"/>
          <w:iCs/>
          <w:color w:val="000000"/>
          <w:lang w:eastAsia="en-US"/>
        </w:rPr>
        <w:t xml:space="preserve"> </w:t>
      </w:r>
      <w:r w:rsidRPr="00CC2AA3">
        <w:rPr>
          <w:rFonts w:eastAsia="Batang"/>
          <w:iCs/>
          <w:color w:val="000000"/>
          <w:lang w:eastAsia="en-US"/>
        </w:rPr>
        <w:t>были обнаружены антитела к препарату</w:t>
      </w:r>
      <w:r>
        <w:rPr>
          <w:rFonts w:eastAsia="Batang"/>
          <w:iCs/>
          <w:color w:val="000000"/>
          <w:lang w:eastAsia="en-US"/>
        </w:rPr>
        <w:t xml:space="preserve"> </w:t>
      </w:r>
      <w:proofErr w:type="spellStart"/>
      <w:r>
        <w:t>Перьета</w:t>
      </w:r>
      <w:proofErr w:type="spellEnd"/>
      <w:r w:rsidRPr="00D95FA7">
        <w:rPr>
          <w:vertAlign w:val="superscript"/>
        </w:rPr>
        <w:t>®</w:t>
      </w:r>
      <w:r w:rsidRPr="00CC2AA3">
        <w:rPr>
          <w:rFonts w:eastAsia="Batang"/>
          <w:iCs/>
          <w:color w:val="000000"/>
          <w:lang w:eastAsia="en-US"/>
        </w:rPr>
        <w:t xml:space="preserve">. </w:t>
      </w:r>
      <w:r w:rsidR="00CC2AA3" w:rsidRPr="003E6E6E">
        <w:t>Однозначная</w:t>
      </w:r>
      <w:r w:rsidR="00CC2AA3">
        <w:t xml:space="preserve"> связь образования антител к </w:t>
      </w:r>
      <w:proofErr w:type="spellStart"/>
      <w:r w:rsidR="00CC2AA3">
        <w:t>пертузумабу</w:t>
      </w:r>
      <w:proofErr w:type="spellEnd"/>
      <w:r w:rsidR="00CC2AA3">
        <w:t xml:space="preserve"> с развитием анафилактической реакции/реакции гиперчувствительности не была установлена ни у одного из пациентов.</w:t>
      </w:r>
    </w:p>
    <w:p w14:paraId="7DED59B8" w14:textId="77777777" w:rsidR="007E4D22" w:rsidRPr="007A66BD" w:rsidRDefault="007E4D22" w:rsidP="00C957E2">
      <w:pPr>
        <w:suppressLineNumbers/>
        <w:autoSpaceDE w:val="0"/>
        <w:autoSpaceDN w:val="0"/>
        <w:adjustRightInd w:val="0"/>
        <w:spacing w:line="360" w:lineRule="auto"/>
        <w:rPr>
          <w:rFonts w:eastAsia="PMingLiU"/>
          <w:color w:val="000000"/>
        </w:rPr>
      </w:pPr>
      <w:r w:rsidRPr="009A478C">
        <w:rPr>
          <w:color w:val="000000"/>
        </w:rPr>
        <w:lastRenderedPageBreak/>
        <w:t>Результаты анализа иммуногенности в значительной степени зависят от различных факто</w:t>
      </w:r>
      <w:r w:rsidRPr="00927E3B">
        <w:rPr>
          <w:color w:val="000000"/>
        </w:rPr>
        <w:t xml:space="preserve">ров, </w:t>
      </w:r>
      <w:r w:rsidR="00BF7B47" w:rsidRPr="009A478C">
        <w:rPr>
          <w:color w:val="000000"/>
        </w:rPr>
        <w:t xml:space="preserve">таких как </w:t>
      </w:r>
      <w:r w:rsidRPr="009A478C">
        <w:rPr>
          <w:color w:val="000000"/>
        </w:rPr>
        <w:t xml:space="preserve">чувствительность и специфичность анализа, </w:t>
      </w:r>
      <w:r w:rsidR="00505573" w:rsidRPr="009A478C">
        <w:rPr>
          <w:color w:val="000000"/>
        </w:rPr>
        <w:t>методологи</w:t>
      </w:r>
      <w:r w:rsidR="00B66F63" w:rsidRPr="009A478C">
        <w:rPr>
          <w:color w:val="000000"/>
        </w:rPr>
        <w:t>я</w:t>
      </w:r>
      <w:r w:rsidR="00505573" w:rsidRPr="009A478C">
        <w:rPr>
          <w:color w:val="000000"/>
        </w:rPr>
        <w:t xml:space="preserve"> проведения анализа</w:t>
      </w:r>
      <w:r w:rsidRPr="009A478C">
        <w:rPr>
          <w:color w:val="000000"/>
        </w:rPr>
        <w:t xml:space="preserve">, манипуляции с забранными образцами, время забора образцов, сопутствующие препараты и характер основного заболевания. Исходя из этих соображений, сравнение частоты обнаружения </w:t>
      </w:r>
      <w:r w:rsidRPr="009A478C">
        <w:t xml:space="preserve">антител </w:t>
      </w:r>
      <w:r w:rsidR="00265172" w:rsidRPr="009A478C">
        <w:t xml:space="preserve">к </w:t>
      </w:r>
      <w:proofErr w:type="spellStart"/>
      <w:r w:rsidR="00265172" w:rsidRPr="009A478C">
        <w:t>пертузумабу</w:t>
      </w:r>
      <w:proofErr w:type="spellEnd"/>
      <w:r w:rsidRPr="009A478C">
        <w:t xml:space="preserve"> и частоты </w:t>
      </w:r>
      <w:r w:rsidRPr="009A478C">
        <w:rPr>
          <w:color w:val="000000"/>
        </w:rPr>
        <w:t>обнаружения антител к другим</w:t>
      </w:r>
      <w:r w:rsidR="00C97D25" w:rsidRPr="009A478C">
        <w:rPr>
          <w:color w:val="000000"/>
        </w:rPr>
        <w:t xml:space="preserve"> биологическим</w:t>
      </w:r>
      <w:r w:rsidRPr="009A478C">
        <w:rPr>
          <w:color w:val="000000"/>
        </w:rPr>
        <w:t xml:space="preserve"> препаратам может оказаться неинформативным.</w:t>
      </w:r>
    </w:p>
    <w:p w14:paraId="1597F696" w14:textId="77777777" w:rsidR="008829D0" w:rsidRPr="007A66BD" w:rsidRDefault="008829D0" w:rsidP="00C957E2">
      <w:pPr>
        <w:suppressAutoHyphens/>
        <w:spacing w:line="360" w:lineRule="auto"/>
        <w:rPr>
          <w:b/>
          <w:i/>
        </w:rPr>
      </w:pPr>
      <w:r w:rsidRPr="007A66BD">
        <w:rPr>
          <w:b/>
          <w:i/>
        </w:rPr>
        <w:t>Фармакокинетика</w:t>
      </w:r>
    </w:p>
    <w:p w14:paraId="01DB8D05" w14:textId="77777777" w:rsidR="000C2CE0" w:rsidRPr="00C14378" w:rsidRDefault="003169A4" w:rsidP="00C957E2">
      <w:pPr>
        <w:spacing w:line="360" w:lineRule="auto"/>
      </w:pPr>
      <w:r w:rsidRPr="005D657A">
        <w:t xml:space="preserve">Изучалась </w:t>
      </w:r>
      <w:proofErr w:type="spellStart"/>
      <w:r w:rsidRPr="005D657A">
        <w:t>фармакокинетика</w:t>
      </w:r>
      <w:proofErr w:type="spellEnd"/>
      <w:r w:rsidRPr="005D657A">
        <w:t xml:space="preserve"> </w:t>
      </w:r>
      <w:proofErr w:type="spellStart"/>
      <w:r w:rsidR="00E140C8" w:rsidRPr="005D657A">
        <w:t>пертузумаба</w:t>
      </w:r>
      <w:proofErr w:type="spellEnd"/>
      <w:r w:rsidR="00E140C8" w:rsidRPr="005D657A">
        <w:t xml:space="preserve"> </w:t>
      </w:r>
      <w:r w:rsidRPr="005D657A">
        <w:t>после внутривенного</w:t>
      </w:r>
      <w:r w:rsidR="00DB6C15">
        <w:t xml:space="preserve"> </w:t>
      </w:r>
      <w:r w:rsidR="00DB6C15" w:rsidRPr="005D657A">
        <w:t xml:space="preserve">(в/в) </w:t>
      </w:r>
      <w:r w:rsidRPr="005D657A">
        <w:t>введения в различных дозах (от 2 до 25 мг/кг) у пациентов с различными видами опухоли.</w:t>
      </w:r>
    </w:p>
    <w:p w14:paraId="5EBDB8F4" w14:textId="77777777" w:rsidR="00E14ED9" w:rsidRPr="005D657A" w:rsidRDefault="00E14ED9" w:rsidP="00C957E2">
      <w:pPr>
        <w:spacing w:line="360" w:lineRule="auto"/>
      </w:pPr>
      <w:r w:rsidRPr="005D657A">
        <w:t xml:space="preserve">Клиренс </w:t>
      </w:r>
      <w:proofErr w:type="spellStart"/>
      <w:r w:rsidRPr="005D657A">
        <w:t>пертузумаба</w:t>
      </w:r>
      <w:proofErr w:type="spellEnd"/>
      <w:r w:rsidRPr="005D657A">
        <w:t xml:space="preserve"> не зависел от дозы и показания. </w:t>
      </w:r>
    </w:p>
    <w:p w14:paraId="2F6D5511" w14:textId="77777777" w:rsidR="00E140C8" w:rsidRPr="005D657A" w:rsidRDefault="00E14ED9" w:rsidP="00C957E2">
      <w:pPr>
        <w:spacing w:line="360" w:lineRule="auto"/>
      </w:pPr>
      <w:r w:rsidRPr="005D657A">
        <w:t>Ф</w:t>
      </w:r>
      <w:r w:rsidR="00656A1D">
        <w:t xml:space="preserve">армакокинетические параметры </w:t>
      </w:r>
      <w:r w:rsidR="003F59C5">
        <w:t xml:space="preserve">не </w:t>
      </w:r>
      <w:r w:rsidR="00656A1D">
        <w:t>зависят</w:t>
      </w:r>
      <w:r w:rsidRPr="005D657A">
        <w:t xml:space="preserve"> от возраста, пола и этнической принадлежности (</w:t>
      </w:r>
      <w:r w:rsidR="00C34BAD" w:rsidRPr="005D657A">
        <w:t xml:space="preserve">японская и другие этнические группы). </w:t>
      </w:r>
    </w:p>
    <w:p w14:paraId="1065314A" w14:textId="065F46D1" w:rsidR="00414EDC" w:rsidRDefault="00C6311E" w:rsidP="00C957E2">
      <w:pPr>
        <w:spacing w:line="360" w:lineRule="auto"/>
        <w:rPr>
          <w:lang w:eastAsia="en-US"/>
        </w:rPr>
      </w:pPr>
      <w:r>
        <w:rPr>
          <w:lang w:eastAsia="en-US"/>
        </w:rPr>
        <w:t>Н</w:t>
      </w:r>
      <w:r w:rsidR="00F97368">
        <w:rPr>
          <w:lang w:eastAsia="en-US"/>
        </w:rPr>
        <w:t>ачальн</w:t>
      </w:r>
      <w:r w:rsidR="00D418E1">
        <w:rPr>
          <w:lang w:eastAsia="en-US"/>
        </w:rPr>
        <w:t>ая</w:t>
      </w:r>
      <w:r w:rsidR="00F97368">
        <w:rPr>
          <w:lang w:eastAsia="en-US"/>
        </w:rPr>
        <w:t xml:space="preserve"> </w:t>
      </w:r>
      <w:r w:rsidR="00D418E1">
        <w:rPr>
          <w:lang w:eastAsia="en-US"/>
        </w:rPr>
        <w:t>концентрация</w:t>
      </w:r>
      <w:r w:rsidR="00F97368">
        <w:rPr>
          <w:lang w:eastAsia="en-US"/>
        </w:rPr>
        <w:t xml:space="preserve"> альбумина и </w:t>
      </w:r>
      <w:r w:rsidR="00D418E1">
        <w:rPr>
          <w:lang w:eastAsia="en-US"/>
        </w:rPr>
        <w:t xml:space="preserve">величина </w:t>
      </w:r>
      <w:r w:rsidR="00DA0D41">
        <w:rPr>
          <w:lang w:eastAsia="en-US"/>
        </w:rPr>
        <w:t>«</w:t>
      </w:r>
      <w:r w:rsidR="00F97368">
        <w:rPr>
          <w:lang w:eastAsia="en-US"/>
        </w:rPr>
        <w:t>тощ</w:t>
      </w:r>
      <w:r w:rsidR="00D418E1">
        <w:rPr>
          <w:lang w:eastAsia="en-US"/>
        </w:rPr>
        <w:t>ей</w:t>
      </w:r>
      <w:r w:rsidR="00F97368">
        <w:rPr>
          <w:lang w:eastAsia="en-US"/>
        </w:rPr>
        <w:t xml:space="preserve"> масс</w:t>
      </w:r>
      <w:r w:rsidR="00D418E1">
        <w:rPr>
          <w:lang w:eastAsia="en-US"/>
        </w:rPr>
        <w:t>ы</w:t>
      </w:r>
      <w:r w:rsidR="00F97368">
        <w:rPr>
          <w:lang w:eastAsia="en-US"/>
        </w:rPr>
        <w:t xml:space="preserve"> тела</w:t>
      </w:r>
      <w:r w:rsidR="00DA0D41">
        <w:rPr>
          <w:lang w:eastAsia="en-US"/>
        </w:rPr>
        <w:t>» (</w:t>
      </w:r>
      <w:r w:rsidR="00EC7180">
        <w:rPr>
          <w:lang w:eastAsia="en-US"/>
        </w:rPr>
        <w:t>величина, характеризующая массу тела за вычетом массы жировой ткани</w:t>
      </w:r>
      <w:r w:rsidR="00DA0D41">
        <w:rPr>
          <w:lang w:eastAsia="en-US"/>
        </w:rPr>
        <w:t>)</w:t>
      </w:r>
      <w:r w:rsidR="006941AF">
        <w:rPr>
          <w:lang w:eastAsia="en-US"/>
        </w:rPr>
        <w:t xml:space="preserve"> оказывают незначительное влияние на клиренс </w:t>
      </w:r>
      <w:proofErr w:type="spellStart"/>
      <w:r w:rsidR="006941AF">
        <w:rPr>
          <w:lang w:eastAsia="en-US"/>
        </w:rPr>
        <w:t>пертузумаба</w:t>
      </w:r>
      <w:proofErr w:type="spellEnd"/>
      <w:r w:rsidR="006941AF">
        <w:rPr>
          <w:lang w:eastAsia="en-US"/>
        </w:rPr>
        <w:t xml:space="preserve">, </w:t>
      </w:r>
      <w:r w:rsidR="008102AA">
        <w:rPr>
          <w:lang w:eastAsia="en-US"/>
        </w:rPr>
        <w:t>при этом</w:t>
      </w:r>
      <w:r w:rsidR="00F1432A">
        <w:rPr>
          <w:lang w:eastAsia="en-US"/>
        </w:rPr>
        <w:t xml:space="preserve"> </w:t>
      </w:r>
      <w:r w:rsidR="006941AF">
        <w:rPr>
          <w:lang w:eastAsia="en-US"/>
        </w:rPr>
        <w:t>н</w:t>
      </w:r>
      <w:r w:rsidR="00414EDC">
        <w:rPr>
          <w:lang w:eastAsia="en-US"/>
        </w:rPr>
        <w:t xml:space="preserve">еобходимость коррекции дозы </w:t>
      </w:r>
      <w:proofErr w:type="spellStart"/>
      <w:r w:rsidR="00414EDC">
        <w:rPr>
          <w:lang w:eastAsia="en-US"/>
        </w:rPr>
        <w:t>пертузумаба</w:t>
      </w:r>
      <w:proofErr w:type="spellEnd"/>
      <w:r w:rsidR="00414EDC">
        <w:rPr>
          <w:lang w:eastAsia="en-US"/>
        </w:rPr>
        <w:t xml:space="preserve"> в зависимости от начальной концентрации альбумина или массы тела отсутствует. </w:t>
      </w:r>
    </w:p>
    <w:p w14:paraId="68638D40" w14:textId="4AD669CC" w:rsidR="007F4C15" w:rsidRPr="008102AA" w:rsidRDefault="00076EAD" w:rsidP="00C957E2">
      <w:pPr>
        <w:spacing w:line="360" w:lineRule="auto"/>
        <w:rPr>
          <w:lang w:eastAsia="en-US"/>
        </w:rPr>
      </w:pPr>
      <w:r>
        <w:rPr>
          <w:lang w:eastAsia="en-US"/>
        </w:rPr>
        <w:t xml:space="preserve">Различий в </w:t>
      </w:r>
      <w:r w:rsidR="005808D1">
        <w:rPr>
          <w:lang w:eastAsia="en-US"/>
        </w:rPr>
        <w:t>фармакокинетике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</w:t>
      </w:r>
      <w:r w:rsidR="00F7531C">
        <w:rPr>
          <w:lang w:eastAsia="en-US"/>
        </w:rPr>
        <w:t>ертузумаба</w:t>
      </w:r>
      <w:proofErr w:type="spellEnd"/>
      <w:r w:rsidR="00F7531C">
        <w:rPr>
          <w:lang w:eastAsia="en-US"/>
        </w:rPr>
        <w:t xml:space="preserve"> у пациентов с ранним</w:t>
      </w:r>
      <w:r>
        <w:rPr>
          <w:lang w:eastAsia="en-US"/>
        </w:rPr>
        <w:t xml:space="preserve"> рак</w:t>
      </w:r>
      <w:r w:rsidR="00F7531C">
        <w:rPr>
          <w:lang w:eastAsia="en-US"/>
        </w:rPr>
        <w:t>ом</w:t>
      </w:r>
      <w:r>
        <w:rPr>
          <w:lang w:eastAsia="en-US"/>
        </w:rPr>
        <w:t xml:space="preserve"> молочной железы и метастатическим раком молочной железы </w:t>
      </w:r>
      <w:r w:rsidR="006E2652">
        <w:rPr>
          <w:lang w:eastAsia="en-US"/>
        </w:rPr>
        <w:t>нет</w:t>
      </w:r>
      <w:r w:rsidR="007F4C15">
        <w:rPr>
          <w:lang w:eastAsia="en-US"/>
        </w:rPr>
        <w:t>.</w:t>
      </w:r>
    </w:p>
    <w:p w14:paraId="15209BA2" w14:textId="77777777" w:rsidR="00FB6183" w:rsidRPr="005D657A" w:rsidRDefault="00FB6183" w:rsidP="00C957E2">
      <w:pPr>
        <w:spacing w:line="360" w:lineRule="auto"/>
        <w:rPr>
          <w:i/>
        </w:rPr>
      </w:pPr>
      <w:r w:rsidRPr="005D657A">
        <w:rPr>
          <w:i/>
        </w:rPr>
        <w:t>Всасывание</w:t>
      </w:r>
    </w:p>
    <w:p w14:paraId="1EFF4EB9" w14:textId="4F3DFCE4" w:rsidR="00FB6183" w:rsidRPr="005D657A" w:rsidRDefault="00FB6183" w:rsidP="00C957E2">
      <w:pPr>
        <w:spacing w:line="360" w:lineRule="auto"/>
      </w:pPr>
      <w:proofErr w:type="spellStart"/>
      <w:r w:rsidRPr="005D657A">
        <w:t>Пертузумаб</w:t>
      </w:r>
      <w:proofErr w:type="spellEnd"/>
      <w:r w:rsidRPr="005D657A">
        <w:t xml:space="preserve"> вводится </w:t>
      </w:r>
      <w:r w:rsidR="00234D7F">
        <w:t>в/в</w:t>
      </w:r>
      <w:r w:rsidRPr="005D657A">
        <w:t xml:space="preserve">. </w:t>
      </w:r>
    </w:p>
    <w:p w14:paraId="437BE3E0" w14:textId="77777777" w:rsidR="00FB6183" w:rsidRPr="005D657A" w:rsidRDefault="00FB6183" w:rsidP="00C957E2">
      <w:pPr>
        <w:spacing w:line="360" w:lineRule="auto"/>
        <w:rPr>
          <w:i/>
        </w:rPr>
      </w:pPr>
      <w:r w:rsidRPr="005D657A">
        <w:rPr>
          <w:i/>
        </w:rPr>
        <w:t>Распределение</w:t>
      </w:r>
    </w:p>
    <w:p w14:paraId="02E1EBF5" w14:textId="77777777" w:rsidR="00F51ADD" w:rsidRPr="00007C81" w:rsidRDefault="00242456" w:rsidP="00C957E2">
      <w:pPr>
        <w:spacing w:line="360" w:lineRule="auto"/>
      </w:pPr>
      <w:r>
        <w:t>Согласно данным всех клинических исследований, о</w:t>
      </w:r>
      <w:r w:rsidR="008538F7" w:rsidRPr="005D657A">
        <w:t>бъем расп</w:t>
      </w:r>
      <w:r w:rsidR="00F51ADD" w:rsidRPr="005D657A">
        <w:t xml:space="preserve">ределения </w:t>
      </w:r>
      <w:r w:rsidR="003247B7" w:rsidRPr="00DD31F9">
        <w:t>в периферической камере (</w:t>
      </w:r>
      <w:proofErr w:type="spellStart"/>
      <w:r w:rsidR="003247B7" w:rsidRPr="00DD31F9">
        <w:t>V</w:t>
      </w:r>
      <w:r w:rsidR="003247B7" w:rsidRPr="00DD31F9">
        <w:rPr>
          <w:vertAlign w:val="subscript"/>
        </w:rPr>
        <w:t>p</w:t>
      </w:r>
      <w:proofErr w:type="spellEnd"/>
      <w:r w:rsidR="003247B7" w:rsidRPr="00DD31F9">
        <w:t>) составляет 2.46 л, а</w:t>
      </w:r>
      <w:r w:rsidR="003247B7" w:rsidRPr="00AA2690">
        <w:t xml:space="preserve"> </w:t>
      </w:r>
      <w:r w:rsidR="00F51ADD" w:rsidRPr="00AA2690">
        <w:t>в це</w:t>
      </w:r>
      <w:r w:rsidR="00F51ADD" w:rsidRPr="005D657A">
        <w:t>нтральной камере</w:t>
      </w:r>
      <w:r w:rsidR="008538F7" w:rsidRPr="005D657A">
        <w:t xml:space="preserve"> </w:t>
      </w:r>
      <w:r w:rsidR="00234D7F" w:rsidRPr="005D657A">
        <w:t>(</w:t>
      </w:r>
      <w:r w:rsidR="00234D7F" w:rsidRPr="005D657A">
        <w:rPr>
          <w:lang w:val="en-US"/>
        </w:rPr>
        <w:t>V</w:t>
      </w:r>
      <w:r w:rsidR="00234D7F" w:rsidRPr="005D657A">
        <w:softHyphen/>
      </w:r>
      <w:r w:rsidR="00234D7F" w:rsidRPr="005D657A">
        <w:rPr>
          <w:vertAlign w:val="subscript"/>
        </w:rPr>
        <w:t>с</w:t>
      </w:r>
      <w:r w:rsidR="00234D7F" w:rsidRPr="005D657A">
        <w:t>)</w:t>
      </w:r>
      <w:r w:rsidR="00234D7F">
        <w:t xml:space="preserve"> </w:t>
      </w:r>
      <w:r w:rsidR="00881BAB">
        <w:t>–</w:t>
      </w:r>
      <w:r w:rsidR="008538F7" w:rsidRPr="005D657A">
        <w:t xml:space="preserve"> 3</w:t>
      </w:r>
      <w:r w:rsidR="00234D7F">
        <w:t>.</w:t>
      </w:r>
      <w:r w:rsidR="00FD43FC">
        <w:t>11</w:t>
      </w:r>
      <w:r w:rsidR="008538F7" w:rsidRPr="005D657A">
        <w:t xml:space="preserve"> л</w:t>
      </w:r>
      <w:r>
        <w:t xml:space="preserve"> у </w:t>
      </w:r>
      <w:r w:rsidR="001005C8">
        <w:t>среднестатистического</w:t>
      </w:r>
      <w:r>
        <w:t xml:space="preserve"> пациента.</w:t>
      </w:r>
    </w:p>
    <w:p w14:paraId="3025D8D7" w14:textId="77777777" w:rsidR="00FB6183" w:rsidRPr="005D657A" w:rsidRDefault="00FB6183" w:rsidP="00C957E2">
      <w:pPr>
        <w:spacing w:line="360" w:lineRule="auto"/>
        <w:rPr>
          <w:i/>
        </w:rPr>
      </w:pPr>
      <w:r w:rsidRPr="005D657A">
        <w:rPr>
          <w:i/>
        </w:rPr>
        <w:t>Метаболизм</w:t>
      </w:r>
    </w:p>
    <w:p w14:paraId="36FC8AD9" w14:textId="77777777" w:rsidR="00E10709" w:rsidRPr="005D657A" w:rsidRDefault="00E10709" w:rsidP="00C957E2">
      <w:pPr>
        <w:spacing w:line="360" w:lineRule="auto"/>
      </w:pPr>
      <w:r w:rsidRPr="005D657A">
        <w:t xml:space="preserve">Метаболизм </w:t>
      </w:r>
      <w:proofErr w:type="spellStart"/>
      <w:r w:rsidRPr="005D657A">
        <w:t>пертузумаба</w:t>
      </w:r>
      <w:proofErr w:type="spellEnd"/>
      <w:r w:rsidRPr="005D657A">
        <w:t xml:space="preserve"> не изучался. Как и другие антитела, </w:t>
      </w:r>
      <w:proofErr w:type="spellStart"/>
      <w:r w:rsidRPr="005D657A">
        <w:t>пертузумаб</w:t>
      </w:r>
      <w:proofErr w:type="spellEnd"/>
      <w:r w:rsidRPr="005D657A">
        <w:t xml:space="preserve"> преимущественно подвергается катаболизму. </w:t>
      </w:r>
    </w:p>
    <w:p w14:paraId="1167700A" w14:textId="77777777" w:rsidR="00FB6183" w:rsidRPr="005D657A" w:rsidRDefault="00FB6183" w:rsidP="00C957E2">
      <w:pPr>
        <w:spacing w:line="360" w:lineRule="auto"/>
        <w:rPr>
          <w:i/>
        </w:rPr>
      </w:pPr>
      <w:r w:rsidRPr="005D657A">
        <w:rPr>
          <w:i/>
        </w:rPr>
        <w:t>Выведение</w:t>
      </w:r>
    </w:p>
    <w:p w14:paraId="4841F4DE" w14:textId="77777777" w:rsidR="00FB6183" w:rsidRPr="00085090" w:rsidRDefault="00E10709" w:rsidP="00C957E2">
      <w:pPr>
        <w:spacing w:line="360" w:lineRule="auto"/>
      </w:pPr>
      <w:r w:rsidRPr="005D657A">
        <w:t xml:space="preserve">Клиренс </w:t>
      </w:r>
      <w:proofErr w:type="spellStart"/>
      <w:r w:rsidRPr="005D657A">
        <w:t>пертузумаба</w:t>
      </w:r>
      <w:proofErr w:type="spellEnd"/>
      <w:r w:rsidRPr="005D657A">
        <w:t xml:space="preserve"> составляет приблизительно 0</w:t>
      </w:r>
      <w:r w:rsidR="00234D7F">
        <w:t>.</w:t>
      </w:r>
      <w:r w:rsidRPr="005D657A">
        <w:t>23</w:t>
      </w:r>
      <w:r w:rsidR="00FD43FC">
        <w:t>5</w:t>
      </w:r>
      <w:r w:rsidRPr="005D657A">
        <w:t xml:space="preserve"> л/сут, период полувыведения </w:t>
      </w:r>
      <w:r w:rsidR="00234D7F">
        <w:t>(</w:t>
      </w:r>
      <w:r w:rsidRPr="005D657A">
        <w:t>Т</w:t>
      </w:r>
      <w:r w:rsidRPr="005D657A">
        <w:softHyphen/>
      </w:r>
      <w:r w:rsidRPr="005D657A">
        <w:rPr>
          <w:vertAlign w:val="subscript"/>
        </w:rPr>
        <w:t>1/2</w:t>
      </w:r>
      <w:r w:rsidR="009D7CE5" w:rsidRPr="00007C81">
        <w:t>)</w:t>
      </w:r>
      <w:r w:rsidR="00234D7F">
        <w:rPr>
          <w:vertAlign w:val="subscript"/>
        </w:rPr>
        <w:t xml:space="preserve"> </w:t>
      </w:r>
      <w:r w:rsidRPr="005D657A">
        <w:t xml:space="preserve">приблизительно равен </w:t>
      </w:r>
      <w:r w:rsidR="00FD43FC">
        <w:t>18</w:t>
      </w:r>
      <w:r w:rsidR="00085090">
        <w:t xml:space="preserve"> дням. </w:t>
      </w:r>
    </w:p>
    <w:p w14:paraId="255BBC32" w14:textId="77777777" w:rsidR="008829D0" w:rsidRPr="007A66BD" w:rsidRDefault="008829D0" w:rsidP="00C957E2">
      <w:pPr>
        <w:spacing w:line="360" w:lineRule="auto"/>
        <w:rPr>
          <w:b/>
          <w:i/>
        </w:rPr>
      </w:pPr>
      <w:r w:rsidRPr="007A66BD">
        <w:rPr>
          <w:b/>
          <w:i/>
        </w:rPr>
        <w:t>Фармакокинетика у особых групп пациентов</w:t>
      </w:r>
    </w:p>
    <w:p w14:paraId="4B4F91F2" w14:textId="77777777" w:rsidR="00E41304" w:rsidRPr="007A66BD" w:rsidRDefault="00E64167" w:rsidP="00C957E2">
      <w:pPr>
        <w:suppressAutoHyphens/>
        <w:spacing w:line="360" w:lineRule="auto"/>
        <w:outlineLvl w:val="0"/>
        <w:rPr>
          <w:bCs/>
          <w:i/>
          <w:kern w:val="36"/>
        </w:rPr>
      </w:pPr>
      <w:r w:rsidRPr="007A66BD">
        <w:rPr>
          <w:bCs/>
          <w:i/>
          <w:kern w:val="36"/>
        </w:rPr>
        <w:t>Пациенты пожилого</w:t>
      </w:r>
      <w:r w:rsidR="0069260B">
        <w:rPr>
          <w:bCs/>
          <w:i/>
          <w:kern w:val="36"/>
        </w:rPr>
        <w:t xml:space="preserve"> и старческого</w:t>
      </w:r>
      <w:r w:rsidR="00E41304" w:rsidRPr="007A66BD">
        <w:rPr>
          <w:bCs/>
          <w:i/>
          <w:kern w:val="36"/>
        </w:rPr>
        <w:t xml:space="preserve"> возраст</w:t>
      </w:r>
      <w:r w:rsidRPr="007A66BD">
        <w:rPr>
          <w:bCs/>
          <w:i/>
          <w:kern w:val="36"/>
        </w:rPr>
        <w:t>а</w:t>
      </w:r>
    </w:p>
    <w:p w14:paraId="469ECB34" w14:textId="77777777" w:rsidR="00625EBA" w:rsidRPr="00625EBA" w:rsidRDefault="00E41304" w:rsidP="00C957E2">
      <w:pPr>
        <w:suppressAutoHyphens/>
        <w:spacing w:line="360" w:lineRule="auto"/>
        <w:outlineLvl w:val="0"/>
        <w:rPr>
          <w:bCs/>
          <w:kern w:val="36"/>
        </w:rPr>
      </w:pPr>
      <w:r w:rsidRPr="007A66BD">
        <w:rPr>
          <w:bCs/>
          <w:kern w:val="36"/>
        </w:rPr>
        <w:lastRenderedPageBreak/>
        <w:t>Специальных исследований</w:t>
      </w:r>
      <w:r w:rsidR="006054F8" w:rsidRPr="007A66BD">
        <w:rPr>
          <w:bCs/>
          <w:kern w:val="36"/>
        </w:rPr>
        <w:t xml:space="preserve"> фармакокинетики </w:t>
      </w:r>
      <w:proofErr w:type="spellStart"/>
      <w:r w:rsidR="006054F8" w:rsidRPr="007A66BD">
        <w:rPr>
          <w:bCs/>
          <w:kern w:val="36"/>
        </w:rPr>
        <w:t>пертузумаба</w:t>
      </w:r>
      <w:proofErr w:type="spellEnd"/>
      <w:r w:rsidR="006054F8" w:rsidRPr="007A66BD">
        <w:rPr>
          <w:bCs/>
          <w:kern w:val="36"/>
        </w:rPr>
        <w:t xml:space="preserve"> у</w:t>
      </w:r>
      <w:r w:rsidRPr="007A66BD">
        <w:rPr>
          <w:bCs/>
          <w:kern w:val="36"/>
        </w:rPr>
        <w:t xml:space="preserve"> пациентов </w:t>
      </w:r>
      <w:r w:rsidR="00085090">
        <w:rPr>
          <w:bCs/>
          <w:kern w:val="36"/>
        </w:rPr>
        <w:t>пожилого (</w:t>
      </w:r>
      <w:r w:rsidR="0069260B">
        <w:rPr>
          <w:bCs/>
          <w:kern w:val="36"/>
        </w:rPr>
        <w:t xml:space="preserve">≥65 лет) и </w:t>
      </w:r>
      <w:r w:rsidRPr="007A66BD">
        <w:rPr>
          <w:bCs/>
          <w:kern w:val="36"/>
        </w:rPr>
        <w:t>старческого</w:t>
      </w:r>
      <w:r w:rsidR="0069260B">
        <w:rPr>
          <w:bCs/>
          <w:kern w:val="36"/>
        </w:rPr>
        <w:t xml:space="preserve"> (≥75 лет)</w:t>
      </w:r>
      <w:r w:rsidRPr="007A66BD">
        <w:rPr>
          <w:bCs/>
          <w:kern w:val="36"/>
        </w:rPr>
        <w:t xml:space="preserve"> возраста не проводилось. </w:t>
      </w:r>
      <w:r w:rsidR="00E64167" w:rsidRPr="007A66BD">
        <w:rPr>
          <w:bCs/>
          <w:kern w:val="36"/>
        </w:rPr>
        <w:t>По результатам популяционного анализа, в</w:t>
      </w:r>
      <w:r w:rsidR="006054F8" w:rsidRPr="007A66BD">
        <w:rPr>
          <w:bCs/>
          <w:kern w:val="36"/>
        </w:rPr>
        <w:t xml:space="preserve">озраст не оказывает влияния на фармакокинетические параметры </w:t>
      </w:r>
      <w:proofErr w:type="spellStart"/>
      <w:r w:rsidR="006054F8" w:rsidRPr="007A66BD">
        <w:rPr>
          <w:bCs/>
          <w:kern w:val="36"/>
        </w:rPr>
        <w:t>пертузумаба</w:t>
      </w:r>
      <w:proofErr w:type="spellEnd"/>
      <w:r w:rsidR="006054F8" w:rsidRPr="007A66BD">
        <w:rPr>
          <w:bCs/>
          <w:kern w:val="36"/>
        </w:rPr>
        <w:t>.</w:t>
      </w:r>
    </w:p>
    <w:p w14:paraId="54E65F02" w14:textId="77777777" w:rsidR="006054F8" w:rsidRPr="007A66BD" w:rsidRDefault="006054F8" w:rsidP="00C957E2">
      <w:pPr>
        <w:suppressAutoHyphens/>
        <w:spacing w:line="360" w:lineRule="auto"/>
        <w:outlineLvl w:val="0"/>
        <w:rPr>
          <w:bCs/>
          <w:i/>
          <w:kern w:val="36"/>
        </w:rPr>
      </w:pPr>
      <w:r w:rsidRPr="007A66BD">
        <w:rPr>
          <w:bCs/>
          <w:i/>
          <w:kern w:val="36"/>
        </w:rPr>
        <w:t>Пацие</w:t>
      </w:r>
      <w:r w:rsidR="00E64167" w:rsidRPr="007A66BD">
        <w:rPr>
          <w:bCs/>
          <w:i/>
          <w:kern w:val="36"/>
        </w:rPr>
        <w:t>нты с нарушением функции почек</w:t>
      </w:r>
    </w:p>
    <w:p w14:paraId="24D7B6C1" w14:textId="77777777" w:rsidR="00E64167" w:rsidRDefault="006054F8" w:rsidP="00C957E2">
      <w:pPr>
        <w:suppressAutoHyphens/>
        <w:spacing w:line="360" w:lineRule="auto"/>
        <w:outlineLvl w:val="0"/>
        <w:rPr>
          <w:bCs/>
          <w:kern w:val="36"/>
        </w:rPr>
      </w:pPr>
      <w:r w:rsidRPr="007A66BD">
        <w:rPr>
          <w:bCs/>
          <w:kern w:val="36"/>
        </w:rPr>
        <w:t xml:space="preserve">Специальных исследований фармакокинетики </w:t>
      </w:r>
      <w:proofErr w:type="spellStart"/>
      <w:r w:rsidRPr="007A66BD">
        <w:rPr>
          <w:bCs/>
          <w:kern w:val="36"/>
        </w:rPr>
        <w:t>пертузумаба</w:t>
      </w:r>
      <w:proofErr w:type="spellEnd"/>
      <w:r w:rsidRPr="007A66BD">
        <w:rPr>
          <w:bCs/>
          <w:kern w:val="36"/>
        </w:rPr>
        <w:t xml:space="preserve"> у пациентов с почечной недостаточностью не проводил</w:t>
      </w:r>
      <w:r w:rsidR="00E64167" w:rsidRPr="007A66BD">
        <w:rPr>
          <w:bCs/>
          <w:kern w:val="36"/>
        </w:rPr>
        <w:t xml:space="preserve">ось. По результатам популяционного анализа, почечная недостаточность </w:t>
      </w:r>
      <w:r w:rsidR="00F0004D">
        <w:rPr>
          <w:bCs/>
          <w:kern w:val="36"/>
        </w:rPr>
        <w:t>легкой</w:t>
      </w:r>
      <w:r w:rsidR="000F0E3A">
        <w:rPr>
          <w:bCs/>
          <w:kern w:val="36"/>
        </w:rPr>
        <w:t xml:space="preserve"> (</w:t>
      </w:r>
      <w:r w:rsidR="00937190">
        <w:rPr>
          <w:bCs/>
          <w:kern w:val="36"/>
        </w:rPr>
        <w:t xml:space="preserve">клиренс креатинина (КК) </w:t>
      </w:r>
      <w:r w:rsidR="00414EDC">
        <w:rPr>
          <w:bCs/>
          <w:kern w:val="36"/>
        </w:rPr>
        <w:t>6</w:t>
      </w:r>
      <w:r w:rsidR="00085090">
        <w:rPr>
          <w:bCs/>
          <w:kern w:val="36"/>
        </w:rPr>
        <w:t>0-</w:t>
      </w:r>
      <w:r w:rsidR="00414EDC">
        <w:rPr>
          <w:bCs/>
          <w:kern w:val="36"/>
        </w:rPr>
        <w:t>9</w:t>
      </w:r>
      <w:r w:rsidR="009D7CE5" w:rsidRPr="00007C81">
        <w:rPr>
          <w:bCs/>
          <w:kern w:val="36"/>
        </w:rPr>
        <w:t>0</w:t>
      </w:r>
      <w:r w:rsidR="000F0E3A">
        <w:rPr>
          <w:bCs/>
          <w:kern w:val="36"/>
        </w:rPr>
        <w:t xml:space="preserve"> мл/мин)</w:t>
      </w:r>
      <w:r w:rsidR="00F0004D">
        <w:rPr>
          <w:bCs/>
          <w:kern w:val="36"/>
        </w:rPr>
        <w:t>, средней</w:t>
      </w:r>
      <w:r w:rsidR="000F0E3A">
        <w:rPr>
          <w:bCs/>
          <w:kern w:val="36"/>
        </w:rPr>
        <w:t xml:space="preserve"> (</w:t>
      </w:r>
      <w:r w:rsidR="00937190">
        <w:rPr>
          <w:bCs/>
          <w:kern w:val="36"/>
        </w:rPr>
        <w:t>КК</w:t>
      </w:r>
      <w:r w:rsidR="00085090">
        <w:rPr>
          <w:bCs/>
          <w:kern w:val="36"/>
        </w:rPr>
        <w:t xml:space="preserve"> 30-</w:t>
      </w:r>
      <w:r w:rsidR="00414EDC">
        <w:rPr>
          <w:bCs/>
          <w:kern w:val="36"/>
        </w:rPr>
        <w:t>6</w:t>
      </w:r>
      <w:r w:rsidR="000F0E3A">
        <w:rPr>
          <w:bCs/>
          <w:kern w:val="36"/>
        </w:rPr>
        <w:t>0 мл/мин)</w:t>
      </w:r>
      <w:r w:rsidR="00C16881">
        <w:rPr>
          <w:bCs/>
          <w:kern w:val="36"/>
        </w:rPr>
        <w:t>,</w:t>
      </w:r>
      <w:r w:rsidR="00432C01">
        <w:rPr>
          <w:bCs/>
          <w:kern w:val="36"/>
        </w:rPr>
        <w:t xml:space="preserve"> </w:t>
      </w:r>
      <w:r w:rsidR="00085090">
        <w:rPr>
          <w:bCs/>
          <w:kern w:val="36"/>
        </w:rPr>
        <w:t>тяже</w:t>
      </w:r>
      <w:r w:rsidR="00F0004D">
        <w:rPr>
          <w:bCs/>
          <w:kern w:val="36"/>
        </w:rPr>
        <w:t xml:space="preserve">лой </w:t>
      </w:r>
      <w:r w:rsidR="00FD43FC">
        <w:rPr>
          <w:bCs/>
          <w:kern w:val="36"/>
        </w:rPr>
        <w:t xml:space="preserve">и терминальной </w:t>
      </w:r>
      <w:r w:rsidR="00F0004D">
        <w:rPr>
          <w:bCs/>
          <w:kern w:val="36"/>
        </w:rPr>
        <w:t>степени</w:t>
      </w:r>
      <w:r w:rsidR="000F0E3A">
        <w:rPr>
          <w:bCs/>
          <w:kern w:val="36"/>
        </w:rPr>
        <w:t xml:space="preserve"> (</w:t>
      </w:r>
      <w:r w:rsidR="00937190">
        <w:rPr>
          <w:bCs/>
          <w:kern w:val="36"/>
        </w:rPr>
        <w:t>КК</w:t>
      </w:r>
      <w:r w:rsidR="00881BAB">
        <w:rPr>
          <w:bCs/>
          <w:kern w:val="36"/>
        </w:rPr>
        <w:t xml:space="preserve"> </w:t>
      </w:r>
      <w:r w:rsidR="009D7CE5" w:rsidRPr="00007C81">
        <w:rPr>
          <w:bCs/>
          <w:kern w:val="36"/>
        </w:rPr>
        <w:t>&lt;</w:t>
      </w:r>
      <w:r w:rsidR="000F0E3A">
        <w:rPr>
          <w:bCs/>
          <w:kern w:val="36"/>
        </w:rPr>
        <w:t>30 мл/мин)</w:t>
      </w:r>
      <w:r w:rsidR="00F0004D">
        <w:rPr>
          <w:bCs/>
          <w:kern w:val="36"/>
        </w:rPr>
        <w:t xml:space="preserve"> </w:t>
      </w:r>
      <w:r w:rsidR="00E64167" w:rsidRPr="007A66BD">
        <w:rPr>
          <w:bCs/>
          <w:kern w:val="36"/>
        </w:rPr>
        <w:t xml:space="preserve">не оказывает влияния на экспозицию </w:t>
      </w:r>
      <w:proofErr w:type="spellStart"/>
      <w:r w:rsidR="00E64167" w:rsidRPr="00250B2E">
        <w:rPr>
          <w:bCs/>
          <w:kern w:val="36"/>
        </w:rPr>
        <w:t>пертузумаба</w:t>
      </w:r>
      <w:proofErr w:type="spellEnd"/>
      <w:r w:rsidR="00E64167" w:rsidRPr="00250B2E">
        <w:rPr>
          <w:bCs/>
          <w:kern w:val="36"/>
        </w:rPr>
        <w:t xml:space="preserve">. </w:t>
      </w:r>
      <w:r w:rsidR="009D7CE5" w:rsidRPr="00417FA3">
        <w:rPr>
          <w:bCs/>
          <w:kern w:val="36"/>
        </w:rPr>
        <w:t xml:space="preserve">Однако данные </w:t>
      </w:r>
      <w:r w:rsidR="00F0004D" w:rsidRPr="00250B2E">
        <w:rPr>
          <w:bCs/>
          <w:kern w:val="36"/>
        </w:rPr>
        <w:t>для</w:t>
      </w:r>
      <w:r w:rsidR="009D7CE5" w:rsidRPr="00250B2E">
        <w:rPr>
          <w:bCs/>
          <w:kern w:val="36"/>
        </w:rPr>
        <w:t xml:space="preserve"> пациенто</w:t>
      </w:r>
      <w:r w:rsidR="00085090">
        <w:rPr>
          <w:bCs/>
          <w:kern w:val="36"/>
        </w:rPr>
        <w:t>в со средней</w:t>
      </w:r>
      <w:r w:rsidR="001B33D7">
        <w:rPr>
          <w:bCs/>
          <w:kern w:val="36"/>
        </w:rPr>
        <w:t>,</w:t>
      </w:r>
      <w:r w:rsidR="00085090">
        <w:rPr>
          <w:bCs/>
          <w:kern w:val="36"/>
        </w:rPr>
        <w:t xml:space="preserve"> тяжелой</w:t>
      </w:r>
      <w:r w:rsidR="00FD43FC">
        <w:rPr>
          <w:bCs/>
          <w:kern w:val="36"/>
        </w:rPr>
        <w:t xml:space="preserve"> и терминальной</w:t>
      </w:r>
      <w:r w:rsidR="001B33D7">
        <w:rPr>
          <w:bCs/>
          <w:kern w:val="36"/>
        </w:rPr>
        <w:t xml:space="preserve"> степенью</w:t>
      </w:r>
      <w:r w:rsidR="00085090">
        <w:rPr>
          <w:bCs/>
          <w:kern w:val="36"/>
        </w:rPr>
        <w:t xml:space="preserve"> почечной</w:t>
      </w:r>
      <w:r w:rsidR="006825E7">
        <w:rPr>
          <w:bCs/>
          <w:kern w:val="36"/>
        </w:rPr>
        <w:t xml:space="preserve"> </w:t>
      </w:r>
      <w:r w:rsidR="009D7CE5" w:rsidRPr="00250B2E">
        <w:rPr>
          <w:bCs/>
          <w:kern w:val="36"/>
        </w:rPr>
        <w:t>недостаточност</w:t>
      </w:r>
      <w:r w:rsidR="001B33D7">
        <w:rPr>
          <w:bCs/>
          <w:kern w:val="36"/>
        </w:rPr>
        <w:t>и</w:t>
      </w:r>
      <w:r w:rsidR="009D7CE5" w:rsidRPr="00250B2E">
        <w:rPr>
          <w:bCs/>
          <w:kern w:val="36"/>
        </w:rPr>
        <w:t xml:space="preserve"> ограничены.</w:t>
      </w:r>
      <w:r w:rsidR="00E64167" w:rsidRPr="007A66BD">
        <w:rPr>
          <w:bCs/>
          <w:kern w:val="36"/>
        </w:rPr>
        <w:t xml:space="preserve"> </w:t>
      </w:r>
    </w:p>
    <w:p w14:paraId="028ADA97" w14:textId="77777777" w:rsidR="00E64167" w:rsidRPr="00007C81" w:rsidRDefault="009D7CE5" w:rsidP="00C957E2">
      <w:pPr>
        <w:suppressAutoHyphens/>
        <w:spacing w:line="360" w:lineRule="auto"/>
        <w:outlineLvl w:val="0"/>
        <w:rPr>
          <w:bCs/>
          <w:i/>
          <w:kern w:val="36"/>
        </w:rPr>
      </w:pPr>
      <w:r w:rsidRPr="00007C81">
        <w:rPr>
          <w:bCs/>
          <w:i/>
          <w:kern w:val="36"/>
        </w:rPr>
        <w:t>Пациенты с нарушением функции печени</w:t>
      </w:r>
    </w:p>
    <w:p w14:paraId="23F0897B" w14:textId="181B92FE" w:rsidR="00C90E99" w:rsidRPr="00085090" w:rsidRDefault="00D76551" w:rsidP="00C957E2">
      <w:pPr>
        <w:suppressAutoHyphens/>
        <w:spacing w:line="360" w:lineRule="auto"/>
        <w:outlineLvl w:val="0"/>
        <w:rPr>
          <w:bCs/>
          <w:kern w:val="36"/>
        </w:rPr>
      </w:pPr>
      <w:r>
        <w:rPr>
          <w:bCs/>
          <w:kern w:val="36"/>
        </w:rPr>
        <w:t>Изучение фармакокинетики</w:t>
      </w:r>
      <w:r w:rsidR="0031284D">
        <w:rPr>
          <w:bCs/>
          <w:kern w:val="36"/>
        </w:rPr>
        <w:t xml:space="preserve"> </w:t>
      </w:r>
      <w:proofErr w:type="spellStart"/>
      <w:r w:rsidR="00F0004D">
        <w:rPr>
          <w:bCs/>
          <w:kern w:val="36"/>
        </w:rPr>
        <w:t>пертузумаба</w:t>
      </w:r>
      <w:proofErr w:type="spellEnd"/>
      <w:r w:rsidR="00F0004D">
        <w:rPr>
          <w:bCs/>
          <w:kern w:val="36"/>
        </w:rPr>
        <w:t xml:space="preserve"> у больных с нарушением функции печени не </w:t>
      </w:r>
      <w:r>
        <w:rPr>
          <w:bCs/>
          <w:kern w:val="36"/>
        </w:rPr>
        <w:t>проводилось</w:t>
      </w:r>
      <w:r w:rsidR="00085090">
        <w:rPr>
          <w:bCs/>
          <w:kern w:val="36"/>
        </w:rPr>
        <w:t>.</w:t>
      </w:r>
    </w:p>
    <w:p w14:paraId="5DD6F71F" w14:textId="77777777" w:rsidR="00C90E99" w:rsidRPr="00652BE1" w:rsidRDefault="00C90E99" w:rsidP="00C957E2">
      <w:pPr>
        <w:suppressAutoHyphens/>
        <w:spacing w:line="360" w:lineRule="auto"/>
        <w:outlineLvl w:val="0"/>
        <w:rPr>
          <w:bCs/>
          <w:kern w:val="36"/>
        </w:rPr>
      </w:pPr>
    </w:p>
    <w:p w14:paraId="1AD33D07" w14:textId="77777777" w:rsidR="008829D0" w:rsidRPr="007A66BD" w:rsidRDefault="008829D0" w:rsidP="00C957E2">
      <w:pPr>
        <w:suppressAutoHyphens/>
        <w:spacing w:line="360" w:lineRule="auto"/>
        <w:outlineLvl w:val="0"/>
        <w:rPr>
          <w:b/>
          <w:bCs/>
          <w:color w:val="0000FF"/>
          <w:kern w:val="36"/>
        </w:rPr>
      </w:pPr>
      <w:r w:rsidRPr="007A66BD">
        <w:rPr>
          <w:b/>
          <w:bCs/>
          <w:kern w:val="36"/>
        </w:rPr>
        <w:t>Показания к применению</w:t>
      </w:r>
    </w:p>
    <w:p w14:paraId="34D8E413" w14:textId="77777777" w:rsidR="00980D87" w:rsidRPr="00DD31F9" w:rsidRDefault="00D2336D" w:rsidP="00C957E2">
      <w:pPr>
        <w:suppressAutoHyphens/>
        <w:spacing w:line="360" w:lineRule="auto"/>
        <w:rPr>
          <w:rFonts w:eastAsia="Batang"/>
          <w:i/>
          <w:color w:val="000000"/>
        </w:rPr>
      </w:pPr>
      <w:r>
        <w:rPr>
          <w:rFonts w:eastAsia="Batang"/>
          <w:i/>
          <w:color w:val="000000"/>
        </w:rPr>
        <w:t>Метастатический р</w:t>
      </w:r>
      <w:r w:rsidR="00044EC0" w:rsidRPr="00DD31F9">
        <w:rPr>
          <w:rFonts w:eastAsia="Batang"/>
          <w:i/>
          <w:color w:val="000000"/>
        </w:rPr>
        <w:t>ак молочной железы</w:t>
      </w:r>
    </w:p>
    <w:p w14:paraId="7FB27F05" w14:textId="77777777" w:rsidR="009C7359" w:rsidRPr="00DD31F9" w:rsidRDefault="00F4174C" w:rsidP="00C957E2">
      <w:pPr>
        <w:suppressAutoHyphen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В</w:t>
      </w:r>
      <w:r w:rsidR="00392FD6">
        <w:rPr>
          <w:rFonts w:eastAsia="Batang"/>
          <w:color w:val="000000"/>
        </w:rPr>
        <w:t xml:space="preserve"> комбинации с </w:t>
      </w:r>
      <w:proofErr w:type="spellStart"/>
      <w:r w:rsidR="00392FD6">
        <w:rPr>
          <w:rFonts w:eastAsia="Batang"/>
          <w:color w:val="000000"/>
        </w:rPr>
        <w:t>трастузумабом</w:t>
      </w:r>
      <w:proofErr w:type="spellEnd"/>
      <w:r w:rsidR="00392FD6">
        <w:rPr>
          <w:rFonts w:eastAsia="Batang"/>
          <w:color w:val="000000"/>
        </w:rPr>
        <w:t xml:space="preserve"> и </w:t>
      </w:r>
      <w:proofErr w:type="spellStart"/>
      <w:r w:rsidR="00392FD6">
        <w:rPr>
          <w:rFonts w:eastAsia="Batang"/>
          <w:color w:val="000000"/>
        </w:rPr>
        <w:t>доцетакселом</w:t>
      </w:r>
      <w:proofErr w:type="spellEnd"/>
      <w:r w:rsidR="00392FD6">
        <w:rPr>
          <w:rFonts w:eastAsia="Batang"/>
          <w:color w:val="000000"/>
        </w:rPr>
        <w:t xml:space="preserve"> п</w:t>
      </w:r>
      <w:r w:rsidR="00E9387E">
        <w:rPr>
          <w:rFonts w:eastAsia="Batang"/>
          <w:color w:val="000000"/>
        </w:rPr>
        <w:t>ри м</w:t>
      </w:r>
      <w:r w:rsidR="00234D7F">
        <w:rPr>
          <w:rFonts w:eastAsia="Batang"/>
          <w:color w:val="000000"/>
        </w:rPr>
        <w:t>етастатическ</w:t>
      </w:r>
      <w:r w:rsidR="00E9387E">
        <w:rPr>
          <w:rFonts w:eastAsia="Batang"/>
          <w:color w:val="000000"/>
        </w:rPr>
        <w:t>ом</w:t>
      </w:r>
      <w:r w:rsidR="00234D7F" w:rsidRPr="007A66BD">
        <w:rPr>
          <w:rFonts w:eastAsia="Batang"/>
          <w:color w:val="000000"/>
        </w:rPr>
        <w:t xml:space="preserve"> или местно-рецидивирующ</w:t>
      </w:r>
      <w:r w:rsidR="00E9387E">
        <w:rPr>
          <w:rFonts w:eastAsia="Batang"/>
          <w:color w:val="000000"/>
        </w:rPr>
        <w:t>ем</w:t>
      </w:r>
      <w:r w:rsidR="00234D7F" w:rsidRPr="007A66BD">
        <w:rPr>
          <w:rFonts w:eastAsia="Batang"/>
          <w:color w:val="000000"/>
        </w:rPr>
        <w:t>, не</w:t>
      </w:r>
      <w:r w:rsidR="00842731">
        <w:rPr>
          <w:rFonts w:eastAsia="Batang"/>
          <w:color w:val="000000"/>
        </w:rPr>
        <w:t>операбельн</w:t>
      </w:r>
      <w:r w:rsidR="00E9387E">
        <w:rPr>
          <w:rFonts w:eastAsia="Batang"/>
          <w:color w:val="000000"/>
        </w:rPr>
        <w:t>ом</w:t>
      </w:r>
      <w:r w:rsidR="006825E7">
        <w:rPr>
          <w:rFonts w:eastAsia="Batang"/>
          <w:color w:val="000000"/>
        </w:rPr>
        <w:t xml:space="preserve"> рак</w:t>
      </w:r>
      <w:r w:rsidR="00E9387E">
        <w:rPr>
          <w:rFonts w:eastAsia="Batang"/>
          <w:color w:val="000000"/>
        </w:rPr>
        <w:t>е</w:t>
      </w:r>
      <w:r w:rsidR="006825E7">
        <w:rPr>
          <w:rFonts w:eastAsia="Batang"/>
          <w:color w:val="000000"/>
        </w:rPr>
        <w:t xml:space="preserve"> молочной железы с </w:t>
      </w:r>
      <w:r w:rsidR="00234D7F" w:rsidRPr="007A66BD">
        <w:rPr>
          <w:rFonts w:eastAsia="Batang"/>
          <w:color w:val="000000"/>
        </w:rPr>
        <w:t xml:space="preserve">опухолевой </w:t>
      </w:r>
      <w:proofErr w:type="spellStart"/>
      <w:r w:rsidR="00234D7F" w:rsidRPr="00007C81">
        <w:rPr>
          <w:rFonts w:eastAsia="Batang"/>
          <w:color w:val="000000"/>
        </w:rPr>
        <w:t>гиперэ</w:t>
      </w:r>
      <w:r w:rsidR="00085090">
        <w:rPr>
          <w:rFonts w:eastAsia="Batang"/>
          <w:color w:val="000000"/>
        </w:rPr>
        <w:t>кспресс</w:t>
      </w:r>
      <w:r w:rsidR="00234D7F" w:rsidRPr="007A66BD">
        <w:rPr>
          <w:rFonts w:eastAsia="Batang"/>
          <w:color w:val="000000"/>
        </w:rPr>
        <w:t>ией</w:t>
      </w:r>
      <w:proofErr w:type="spellEnd"/>
      <w:r w:rsidR="00234D7F" w:rsidRPr="007A66BD">
        <w:rPr>
          <w:rFonts w:eastAsia="Batang"/>
          <w:color w:val="000000"/>
        </w:rPr>
        <w:t xml:space="preserve"> </w:t>
      </w:r>
      <w:r w:rsidR="00234D7F" w:rsidRPr="007A66BD">
        <w:rPr>
          <w:rFonts w:eastAsia="Batang"/>
          <w:color w:val="000000"/>
          <w:lang w:val="en-US"/>
        </w:rPr>
        <w:t>HER</w:t>
      </w:r>
      <w:r w:rsidR="00234D7F" w:rsidRPr="007A66BD">
        <w:rPr>
          <w:rFonts w:eastAsia="Batang"/>
          <w:color w:val="000000"/>
        </w:rPr>
        <w:t>2</w:t>
      </w:r>
      <w:r w:rsidR="00031015">
        <w:rPr>
          <w:rFonts w:eastAsia="Batang"/>
          <w:color w:val="000000"/>
        </w:rPr>
        <w:t xml:space="preserve"> </w:t>
      </w:r>
      <w:r w:rsidR="009D7CE5" w:rsidRPr="00DD31F9">
        <w:rPr>
          <w:rFonts w:eastAsia="Batang"/>
          <w:color w:val="000000"/>
        </w:rPr>
        <w:t>при отсутствии ранее проводимо</w:t>
      </w:r>
      <w:r w:rsidR="00044EC0" w:rsidRPr="00DD31F9">
        <w:rPr>
          <w:rFonts w:eastAsia="Batang"/>
          <w:color w:val="000000"/>
        </w:rPr>
        <w:t xml:space="preserve">й </w:t>
      </w:r>
      <w:r w:rsidR="00044EC0" w:rsidRPr="00DD31F9">
        <w:rPr>
          <w:rFonts w:eastAsia="Batang"/>
          <w:color w:val="000000"/>
          <w:lang w:val="en-US"/>
        </w:rPr>
        <w:t>HER</w:t>
      </w:r>
      <w:r w:rsidR="00044EC0" w:rsidRPr="00DD31F9">
        <w:rPr>
          <w:rFonts w:eastAsia="Batang"/>
          <w:color w:val="000000"/>
        </w:rPr>
        <w:t xml:space="preserve">2 специфичной </w:t>
      </w:r>
      <w:r w:rsidR="00881BAB">
        <w:rPr>
          <w:rFonts w:eastAsia="Batang"/>
          <w:color w:val="000000"/>
        </w:rPr>
        <w:t>терапии</w:t>
      </w:r>
      <w:r w:rsidR="009D7CE5" w:rsidRPr="00DD31F9">
        <w:rPr>
          <w:rFonts w:eastAsia="Batang"/>
          <w:color w:val="000000"/>
        </w:rPr>
        <w:t xml:space="preserve"> или </w:t>
      </w:r>
      <w:r w:rsidR="00044EC0" w:rsidRPr="00DD31F9">
        <w:rPr>
          <w:rFonts w:eastAsia="Batang"/>
          <w:color w:val="000000"/>
        </w:rPr>
        <w:t xml:space="preserve">химиотерапии по поводу метастатического </w:t>
      </w:r>
      <w:r w:rsidR="009D7CE5" w:rsidRPr="00DD31F9">
        <w:rPr>
          <w:rFonts w:eastAsia="Batang"/>
          <w:color w:val="000000"/>
        </w:rPr>
        <w:t xml:space="preserve">заболевания. </w:t>
      </w:r>
    </w:p>
    <w:p w14:paraId="7DBFE603" w14:textId="3D89A24D" w:rsidR="00D2336D" w:rsidRPr="00DD31F9" w:rsidRDefault="000109E8" w:rsidP="00C957E2">
      <w:pPr>
        <w:suppressAutoHyphens/>
        <w:spacing w:line="360" w:lineRule="auto"/>
        <w:rPr>
          <w:rFonts w:eastAsia="Batang"/>
          <w:i/>
          <w:color w:val="000000"/>
        </w:rPr>
      </w:pPr>
      <w:proofErr w:type="spellStart"/>
      <w:r>
        <w:rPr>
          <w:rFonts w:eastAsia="Batang"/>
          <w:i/>
          <w:color w:val="000000"/>
        </w:rPr>
        <w:t>Неметастатический</w:t>
      </w:r>
      <w:proofErr w:type="spellEnd"/>
      <w:r w:rsidR="00D2336D" w:rsidRPr="00DD31F9">
        <w:rPr>
          <w:rFonts w:eastAsia="Batang"/>
          <w:i/>
          <w:color w:val="000000"/>
        </w:rPr>
        <w:t xml:space="preserve"> рак молочной железы</w:t>
      </w:r>
    </w:p>
    <w:p w14:paraId="292613CE" w14:textId="0F953429" w:rsidR="009A366E" w:rsidRDefault="00F4174C" w:rsidP="00C957E2">
      <w:pPr>
        <w:suppressAutoHyphen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В</w:t>
      </w:r>
      <w:r w:rsidR="00392FD6" w:rsidRPr="00BE08B1">
        <w:rPr>
          <w:rFonts w:eastAsia="Batang"/>
          <w:color w:val="000000"/>
        </w:rPr>
        <w:t xml:space="preserve"> комбинации с </w:t>
      </w:r>
      <w:proofErr w:type="spellStart"/>
      <w:r w:rsidR="00392FD6" w:rsidRPr="00BE08B1">
        <w:rPr>
          <w:rFonts w:eastAsia="Batang"/>
          <w:color w:val="000000"/>
        </w:rPr>
        <w:t>трастузумабом</w:t>
      </w:r>
      <w:proofErr w:type="spellEnd"/>
      <w:r w:rsidR="00392FD6" w:rsidRPr="00BE08B1">
        <w:rPr>
          <w:rFonts w:eastAsia="Batang"/>
          <w:color w:val="000000"/>
        </w:rPr>
        <w:t xml:space="preserve"> и </w:t>
      </w:r>
      <w:r w:rsidR="0049149D">
        <w:rPr>
          <w:rFonts w:eastAsia="Batang"/>
          <w:color w:val="000000"/>
        </w:rPr>
        <w:t>химиотерапией</w:t>
      </w:r>
      <w:r w:rsidR="009A366E">
        <w:rPr>
          <w:rFonts w:eastAsia="Batang"/>
          <w:color w:val="000000"/>
        </w:rPr>
        <w:t>:</w:t>
      </w:r>
    </w:p>
    <w:p w14:paraId="283685AA" w14:textId="47315E0C" w:rsidR="009A366E" w:rsidRDefault="009329BB" w:rsidP="00CE4F97">
      <w:pPr>
        <w:pStyle w:val="ListParagraph"/>
        <w:numPr>
          <w:ilvl w:val="0"/>
          <w:numId w:val="54"/>
        </w:numPr>
        <w:suppressAutoHyphen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в</w:t>
      </w:r>
      <w:r w:rsidR="009A366E">
        <w:rPr>
          <w:rFonts w:eastAsia="Batang"/>
          <w:color w:val="000000"/>
        </w:rPr>
        <w:t xml:space="preserve"> качестве </w:t>
      </w:r>
      <w:proofErr w:type="spellStart"/>
      <w:r w:rsidR="009A366E">
        <w:rPr>
          <w:rFonts w:eastAsia="Batang"/>
          <w:color w:val="000000"/>
        </w:rPr>
        <w:t>неоадъювантной</w:t>
      </w:r>
      <w:proofErr w:type="spellEnd"/>
      <w:r w:rsidR="009A366E">
        <w:rPr>
          <w:rFonts w:eastAsia="Batang"/>
          <w:color w:val="000000"/>
        </w:rPr>
        <w:t xml:space="preserve"> терапии </w:t>
      </w:r>
      <w:r w:rsidR="00392FD6" w:rsidRPr="00CE4F97">
        <w:rPr>
          <w:rFonts w:eastAsia="Batang"/>
          <w:color w:val="000000"/>
        </w:rPr>
        <w:t>при</w:t>
      </w:r>
      <w:r w:rsidR="00D2336D" w:rsidRPr="00CE4F97">
        <w:rPr>
          <w:rFonts w:eastAsia="Batang"/>
          <w:color w:val="000000"/>
        </w:rPr>
        <w:t xml:space="preserve"> местно-</w:t>
      </w:r>
      <w:r w:rsidR="00881BAB" w:rsidRPr="00CE4F97">
        <w:rPr>
          <w:rFonts w:eastAsia="Batang"/>
          <w:color w:val="000000"/>
        </w:rPr>
        <w:t>распростране</w:t>
      </w:r>
      <w:r w:rsidR="0045242F" w:rsidRPr="00CE4F97">
        <w:rPr>
          <w:rFonts w:eastAsia="Batang"/>
          <w:color w:val="000000"/>
        </w:rPr>
        <w:t>нном</w:t>
      </w:r>
      <w:r w:rsidR="00D2336D" w:rsidRPr="00CE4F97">
        <w:rPr>
          <w:rFonts w:eastAsia="Batang"/>
          <w:color w:val="000000"/>
        </w:rPr>
        <w:t xml:space="preserve">, </w:t>
      </w:r>
      <w:r w:rsidR="00AA3A5E" w:rsidRPr="00CE4F97">
        <w:rPr>
          <w:rFonts w:eastAsia="Batang"/>
          <w:color w:val="000000"/>
        </w:rPr>
        <w:t xml:space="preserve">отечно-инфильтративном </w:t>
      </w:r>
      <w:r w:rsidR="00D2336D" w:rsidRPr="00CE4F97">
        <w:rPr>
          <w:rFonts w:eastAsia="Batang"/>
          <w:color w:val="000000"/>
        </w:rPr>
        <w:t xml:space="preserve">или раннем </w:t>
      </w:r>
      <w:r w:rsidR="0086457B">
        <w:rPr>
          <w:rFonts w:eastAsia="Batang"/>
          <w:color w:val="000000"/>
        </w:rPr>
        <w:t xml:space="preserve">(первично-операбельном) </w:t>
      </w:r>
      <w:r w:rsidR="00D2336D" w:rsidRPr="00CE4F97">
        <w:rPr>
          <w:rFonts w:eastAsia="Batang"/>
          <w:color w:val="000000"/>
        </w:rPr>
        <w:t>раке молочной железы</w:t>
      </w:r>
      <w:r w:rsidR="00C9357B" w:rsidRPr="00CE4F97">
        <w:rPr>
          <w:rFonts w:eastAsia="Batang"/>
          <w:color w:val="000000"/>
        </w:rPr>
        <w:t xml:space="preserve"> </w:t>
      </w:r>
      <w:r w:rsidR="00412009" w:rsidRPr="00CE4F97">
        <w:rPr>
          <w:rFonts w:eastAsia="Batang"/>
          <w:color w:val="000000"/>
        </w:rPr>
        <w:t>(диаметр опухоли более 2 см</w:t>
      </w:r>
      <w:r w:rsidR="009D7209" w:rsidRPr="00CE4F97">
        <w:rPr>
          <w:rFonts w:eastAsia="Batang"/>
          <w:color w:val="000000"/>
        </w:rPr>
        <w:t xml:space="preserve"> или с поражением лимфоузлов</w:t>
      </w:r>
      <w:r w:rsidR="00412009" w:rsidRPr="00CE4F97">
        <w:rPr>
          <w:rFonts w:eastAsia="Batang"/>
          <w:color w:val="000000"/>
        </w:rPr>
        <w:t xml:space="preserve">) </w:t>
      </w:r>
      <w:r w:rsidR="00C9357B" w:rsidRPr="00CE4F97">
        <w:rPr>
          <w:rFonts w:eastAsia="Batang"/>
          <w:color w:val="000000"/>
        </w:rPr>
        <w:t xml:space="preserve">с </w:t>
      </w:r>
      <w:proofErr w:type="spellStart"/>
      <w:r w:rsidR="00C9357B" w:rsidRPr="00CE4F97">
        <w:rPr>
          <w:rFonts w:eastAsia="Batang"/>
          <w:color w:val="000000"/>
        </w:rPr>
        <w:t>гиперэкспрессией</w:t>
      </w:r>
      <w:proofErr w:type="spellEnd"/>
      <w:r w:rsidR="00C9357B" w:rsidRPr="00CE4F97">
        <w:rPr>
          <w:rFonts w:eastAsia="Batang"/>
          <w:color w:val="000000"/>
        </w:rPr>
        <w:t xml:space="preserve"> </w:t>
      </w:r>
      <w:r w:rsidR="00C9357B" w:rsidRPr="00CE4F97">
        <w:rPr>
          <w:rFonts w:eastAsia="Batang"/>
          <w:color w:val="000000"/>
          <w:lang w:val="en-US"/>
        </w:rPr>
        <w:t>HER</w:t>
      </w:r>
      <w:r w:rsidR="00C9357B" w:rsidRPr="00CE4F97">
        <w:rPr>
          <w:rFonts w:eastAsia="Batang"/>
          <w:color w:val="000000"/>
        </w:rPr>
        <w:t>2</w:t>
      </w:r>
      <w:r w:rsidR="00980D87" w:rsidRPr="00CE4F97">
        <w:rPr>
          <w:rFonts w:eastAsia="Batang"/>
          <w:color w:val="000000"/>
        </w:rPr>
        <w:t xml:space="preserve"> </w:t>
      </w:r>
      <w:r w:rsidR="00C46F79" w:rsidRPr="00CE4F97">
        <w:rPr>
          <w:rFonts w:eastAsia="Batang"/>
          <w:color w:val="000000"/>
        </w:rPr>
        <w:t xml:space="preserve">в </w:t>
      </w:r>
      <w:r w:rsidR="00FC09F8" w:rsidRPr="00CE4F97">
        <w:rPr>
          <w:rFonts w:eastAsia="Batang"/>
          <w:color w:val="000000"/>
        </w:rPr>
        <w:t>составе</w:t>
      </w:r>
      <w:r w:rsidR="009D7209" w:rsidRPr="00CE4F97">
        <w:rPr>
          <w:rFonts w:eastAsia="Batang"/>
          <w:color w:val="000000"/>
        </w:rPr>
        <w:t xml:space="preserve"> полной</w:t>
      </w:r>
      <w:r w:rsidR="00C46F79" w:rsidRPr="00CE4F97">
        <w:rPr>
          <w:rFonts w:eastAsia="Batang"/>
          <w:color w:val="000000"/>
        </w:rPr>
        <w:t xml:space="preserve"> </w:t>
      </w:r>
      <w:r w:rsidR="005839D4" w:rsidRPr="00CE4F97">
        <w:rPr>
          <w:rFonts w:eastAsia="Batang"/>
          <w:color w:val="000000"/>
        </w:rPr>
        <w:t>схемы лечения</w:t>
      </w:r>
      <w:r w:rsidR="009D7209" w:rsidRPr="00CE4F97">
        <w:rPr>
          <w:rStyle w:val="CommentReference"/>
          <w:rFonts w:eastAsia="SimSun"/>
          <w:sz w:val="24"/>
          <w:szCs w:val="24"/>
          <w:lang w:eastAsia="en-US"/>
        </w:rPr>
        <w:t xml:space="preserve"> раннего рака молочной железы</w:t>
      </w:r>
      <w:r w:rsidR="009A366E">
        <w:rPr>
          <w:rFonts w:eastAsia="Batang"/>
          <w:color w:val="000000"/>
        </w:rPr>
        <w:t>;</w:t>
      </w:r>
    </w:p>
    <w:p w14:paraId="45E80364" w14:textId="390722E6" w:rsidR="00F3114D" w:rsidRPr="00CE4F97" w:rsidRDefault="009329BB" w:rsidP="00CE4F97">
      <w:pPr>
        <w:pStyle w:val="ListParagraph"/>
        <w:numPr>
          <w:ilvl w:val="0"/>
          <w:numId w:val="54"/>
        </w:numPr>
        <w:suppressAutoHyphen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в</w:t>
      </w:r>
      <w:r w:rsidR="009A366E">
        <w:rPr>
          <w:rFonts w:eastAsia="Batang"/>
          <w:color w:val="000000"/>
        </w:rPr>
        <w:t xml:space="preserve"> качестве </w:t>
      </w:r>
      <w:proofErr w:type="spellStart"/>
      <w:r w:rsidR="009A366E">
        <w:rPr>
          <w:rFonts w:eastAsia="Batang"/>
          <w:color w:val="000000"/>
        </w:rPr>
        <w:t>адъювантной</w:t>
      </w:r>
      <w:proofErr w:type="spellEnd"/>
      <w:r w:rsidR="009A366E">
        <w:rPr>
          <w:rFonts w:eastAsia="Batang"/>
          <w:color w:val="000000"/>
        </w:rPr>
        <w:t xml:space="preserve"> терапии </w:t>
      </w:r>
      <w:r w:rsidR="0086457B">
        <w:rPr>
          <w:rFonts w:eastAsia="Batang"/>
          <w:color w:val="000000"/>
        </w:rPr>
        <w:t>раннего (первично-операбельного)</w:t>
      </w:r>
      <w:r w:rsidR="009A366E" w:rsidRPr="00D95FA7">
        <w:rPr>
          <w:rFonts w:eastAsia="Batang"/>
          <w:color w:val="000000"/>
        </w:rPr>
        <w:t xml:space="preserve"> рак</w:t>
      </w:r>
      <w:r w:rsidR="008E77CC">
        <w:rPr>
          <w:rFonts w:eastAsia="Batang"/>
          <w:color w:val="000000"/>
        </w:rPr>
        <w:t>а</w:t>
      </w:r>
      <w:r w:rsidR="009A366E" w:rsidRPr="00D95FA7">
        <w:rPr>
          <w:rFonts w:eastAsia="Batang"/>
          <w:color w:val="000000"/>
        </w:rPr>
        <w:t xml:space="preserve"> молочной железы</w:t>
      </w:r>
      <w:r w:rsidR="009A366E">
        <w:rPr>
          <w:rFonts w:eastAsia="Batang"/>
          <w:color w:val="000000"/>
        </w:rPr>
        <w:t xml:space="preserve"> </w:t>
      </w:r>
      <w:r w:rsidR="009A366E" w:rsidRPr="00D95FA7">
        <w:rPr>
          <w:rFonts w:eastAsia="Batang"/>
          <w:color w:val="000000"/>
        </w:rPr>
        <w:t xml:space="preserve">с </w:t>
      </w:r>
      <w:proofErr w:type="spellStart"/>
      <w:r w:rsidR="009A366E" w:rsidRPr="00D95FA7">
        <w:rPr>
          <w:rFonts w:eastAsia="Batang"/>
          <w:color w:val="000000"/>
        </w:rPr>
        <w:t>гиперэкспрессией</w:t>
      </w:r>
      <w:proofErr w:type="spellEnd"/>
      <w:r w:rsidR="009A366E" w:rsidRPr="00D95FA7">
        <w:rPr>
          <w:rFonts w:eastAsia="Batang"/>
          <w:color w:val="000000"/>
        </w:rPr>
        <w:t xml:space="preserve"> </w:t>
      </w:r>
      <w:r w:rsidR="009A366E" w:rsidRPr="00D95FA7">
        <w:rPr>
          <w:rFonts w:eastAsia="Batang"/>
          <w:color w:val="000000"/>
          <w:lang w:val="en-US"/>
        </w:rPr>
        <w:t>HER</w:t>
      </w:r>
      <w:r w:rsidR="009A366E" w:rsidRPr="00D95FA7">
        <w:rPr>
          <w:rFonts w:eastAsia="Batang"/>
          <w:color w:val="000000"/>
        </w:rPr>
        <w:t>2</w:t>
      </w:r>
      <w:r w:rsidR="009329DC" w:rsidRPr="009753E4">
        <w:rPr>
          <w:rFonts w:eastAsia="Batang"/>
          <w:color w:val="000000"/>
        </w:rPr>
        <w:t xml:space="preserve"> </w:t>
      </w:r>
      <w:r w:rsidR="009329DC">
        <w:rPr>
          <w:rFonts w:eastAsia="Batang"/>
          <w:color w:val="000000"/>
        </w:rPr>
        <w:t>с высоким риском рецидива</w:t>
      </w:r>
      <w:r w:rsidR="009A366E">
        <w:rPr>
          <w:rFonts w:eastAsia="Batang"/>
          <w:color w:val="000000"/>
        </w:rPr>
        <w:t>.</w:t>
      </w:r>
    </w:p>
    <w:p w14:paraId="70D6E85E" w14:textId="77777777" w:rsidR="00F3114D" w:rsidRPr="00F3114D" w:rsidRDefault="00F3114D" w:rsidP="00C957E2">
      <w:pPr>
        <w:suppressAutoHyphens/>
        <w:spacing w:line="360" w:lineRule="auto"/>
        <w:rPr>
          <w:rFonts w:eastAsia="Batang"/>
          <w:color w:val="000000"/>
        </w:rPr>
      </w:pPr>
    </w:p>
    <w:p w14:paraId="7F9D6491" w14:textId="77777777" w:rsidR="00DB64C5" w:rsidRPr="007A66BD" w:rsidRDefault="00DB64C5" w:rsidP="00C957E2">
      <w:pPr>
        <w:suppressAutoHyphens/>
        <w:spacing w:line="360" w:lineRule="auto"/>
        <w:rPr>
          <w:b/>
          <w:bCs/>
          <w:kern w:val="36"/>
        </w:rPr>
      </w:pPr>
      <w:r w:rsidRPr="007A66BD">
        <w:rPr>
          <w:b/>
          <w:bCs/>
          <w:kern w:val="36"/>
        </w:rPr>
        <w:t>Противопоказания</w:t>
      </w:r>
    </w:p>
    <w:p w14:paraId="542809C8" w14:textId="77777777" w:rsidR="00DB64C5" w:rsidRPr="007A66BD" w:rsidRDefault="00402058" w:rsidP="00C957E2">
      <w:pPr>
        <w:suppressAutoHyphens/>
        <w:spacing w:line="360" w:lineRule="auto"/>
        <w:rPr>
          <w:bCs/>
          <w:kern w:val="36"/>
        </w:rPr>
      </w:pPr>
      <w:r>
        <w:rPr>
          <w:bCs/>
          <w:kern w:val="36"/>
        </w:rPr>
        <w:t>Г</w:t>
      </w:r>
      <w:r w:rsidR="00B76C58">
        <w:rPr>
          <w:bCs/>
          <w:kern w:val="36"/>
        </w:rPr>
        <w:t>иперчувствительность</w:t>
      </w:r>
      <w:r w:rsidR="00DB64C5" w:rsidRPr="007A66BD">
        <w:rPr>
          <w:bCs/>
          <w:kern w:val="36"/>
        </w:rPr>
        <w:t xml:space="preserve"> к </w:t>
      </w:r>
      <w:proofErr w:type="spellStart"/>
      <w:r w:rsidR="00DB64C5" w:rsidRPr="007A66BD">
        <w:rPr>
          <w:bCs/>
          <w:kern w:val="36"/>
        </w:rPr>
        <w:t>пертузумабу</w:t>
      </w:r>
      <w:proofErr w:type="spellEnd"/>
      <w:r w:rsidR="00DB64C5" w:rsidRPr="007A66BD">
        <w:rPr>
          <w:bCs/>
          <w:kern w:val="36"/>
        </w:rPr>
        <w:t xml:space="preserve"> и к другим компонентам препарата.</w:t>
      </w:r>
    </w:p>
    <w:p w14:paraId="1F0C2848" w14:textId="77777777" w:rsidR="00BB41DA" w:rsidRDefault="00BB41DA" w:rsidP="00C957E2">
      <w:pPr>
        <w:suppressAutoHyphens/>
        <w:spacing w:line="360" w:lineRule="auto"/>
      </w:pPr>
      <w:r w:rsidRPr="00250B2E">
        <w:t>Беременность и период грудного вскармливания.</w:t>
      </w:r>
    </w:p>
    <w:p w14:paraId="307217D7" w14:textId="77777777" w:rsidR="00947484" w:rsidRDefault="00947484" w:rsidP="00C957E2">
      <w:pPr>
        <w:suppressAutoHyphens/>
        <w:spacing w:line="360" w:lineRule="auto"/>
      </w:pPr>
      <w:r w:rsidRPr="00417FA3">
        <w:t xml:space="preserve">Детский возраст до 18 </w:t>
      </w:r>
      <w:r w:rsidRPr="00250B2E">
        <w:t>лет (эффективность и безопасность применения не установлены)</w:t>
      </w:r>
      <w:r w:rsidRPr="000D510A">
        <w:t>.</w:t>
      </w:r>
    </w:p>
    <w:p w14:paraId="24096A19" w14:textId="77777777" w:rsidR="004F09A1" w:rsidRDefault="00842731" w:rsidP="00C957E2">
      <w:pPr>
        <w:suppressAutoHyphens/>
        <w:spacing w:line="360" w:lineRule="auto"/>
        <w:rPr>
          <w:rFonts w:eastAsia="Batang"/>
        </w:rPr>
      </w:pPr>
      <w:r w:rsidRPr="00D44534">
        <w:rPr>
          <w:rFonts w:eastAsia="Batang"/>
        </w:rPr>
        <w:t xml:space="preserve">Значения </w:t>
      </w:r>
      <w:r w:rsidR="00807824">
        <w:rPr>
          <w:rFonts w:eastAsia="Batang"/>
        </w:rPr>
        <w:t>фракции выброса левого желудочка сердца</w:t>
      </w:r>
      <w:r w:rsidRPr="00D44534">
        <w:rPr>
          <w:rFonts w:eastAsia="Batang"/>
        </w:rPr>
        <w:t xml:space="preserve"> </w:t>
      </w:r>
      <w:r w:rsidR="00807824">
        <w:rPr>
          <w:rFonts w:eastAsia="Batang"/>
        </w:rPr>
        <w:t>(</w:t>
      </w:r>
      <w:r w:rsidR="00807824" w:rsidRPr="00D44534">
        <w:rPr>
          <w:rFonts w:eastAsia="Batang"/>
        </w:rPr>
        <w:t>ФВЛЖ</w:t>
      </w:r>
      <w:r w:rsidR="00807824">
        <w:rPr>
          <w:rFonts w:eastAsia="Batang"/>
        </w:rPr>
        <w:t xml:space="preserve">) </w:t>
      </w:r>
      <w:r w:rsidRPr="00D44534">
        <w:rPr>
          <w:rFonts w:eastAsia="Batang"/>
        </w:rPr>
        <w:t xml:space="preserve">до </w:t>
      </w:r>
      <w:r w:rsidRPr="00930181">
        <w:rPr>
          <w:rFonts w:eastAsia="Batang"/>
        </w:rPr>
        <w:t>лечения</w:t>
      </w:r>
      <w:r w:rsidRPr="00D44534">
        <w:rPr>
          <w:rFonts w:eastAsia="Batang"/>
        </w:rPr>
        <w:t xml:space="preserve"> </w:t>
      </w:r>
      <w:r w:rsidR="00EA40AE" w:rsidRPr="00DD31F9">
        <w:rPr>
          <w:rFonts w:eastAsia="Batang"/>
        </w:rPr>
        <w:t>&lt;</w:t>
      </w:r>
      <w:r w:rsidR="003910D3" w:rsidRPr="00D44534">
        <w:rPr>
          <w:rFonts w:eastAsia="Batang"/>
        </w:rPr>
        <w:t>50%</w:t>
      </w:r>
      <w:r w:rsidR="006825E7">
        <w:rPr>
          <w:rFonts w:eastAsia="Batang"/>
        </w:rPr>
        <w:t>.</w:t>
      </w:r>
    </w:p>
    <w:p w14:paraId="18381681" w14:textId="77777777" w:rsidR="004F09A1" w:rsidRDefault="000D37D8" w:rsidP="00C957E2">
      <w:pPr>
        <w:suppressAutoHyphens/>
        <w:spacing w:line="360" w:lineRule="auto"/>
        <w:rPr>
          <w:rFonts w:eastAsia="Batang"/>
        </w:rPr>
      </w:pPr>
      <w:r>
        <w:rPr>
          <w:rFonts w:eastAsia="Batang"/>
        </w:rPr>
        <w:t>Застойная</w:t>
      </w:r>
      <w:r w:rsidRPr="00D44534">
        <w:rPr>
          <w:rFonts w:eastAsia="Batang"/>
        </w:rPr>
        <w:t xml:space="preserve"> </w:t>
      </w:r>
      <w:r w:rsidR="00842731" w:rsidRPr="00D44534">
        <w:rPr>
          <w:rFonts w:eastAsia="Batang"/>
        </w:rPr>
        <w:t>серде</w:t>
      </w:r>
      <w:r w:rsidR="006825E7">
        <w:rPr>
          <w:rFonts w:eastAsia="Batang"/>
        </w:rPr>
        <w:t>чная недостаточность в анамнезе.</w:t>
      </w:r>
    </w:p>
    <w:p w14:paraId="3AC40909" w14:textId="77777777" w:rsidR="004F09A1" w:rsidRDefault="004F09A1" w:rsidP="00C957E2">
      <w:pPr>
        <w:suppressAutoHyphens/>
        <w:spacing w:line="360" w:lineRule="auto"/>
        <w:rPr>
          <w:rFonts w:eastAsia="Batang"/>
        </w:rPr>
      </w:pPr>
      <w:r>
        <w:rPr>
          <w:rFonts w:eastAsia="Batang"/>
        </w:rPr>
        <w:lastRenderedPageBreak/>
        <w:t>Н</w:t>
      </w:r>
      <w:r w:rsidR="00842731" w:rsidRPr="00D44534">
        <w:rPr>
          <w:rFonts w:eastAsia="Batang"/>
        </w:rPr>
        <w:t xml:space="preserve">еконтролируемая </w:t>
      </w:r>
      <w:r w:rsidR="008E7BD8">
        <w:rPr>
          <w:rFonts w:eastAsia="Batang"/>
        </w:rPr>
        <w:t xml:space="preserve">артериальная </w:t>
      </w:r>
      <w:r w:rsidR="00842731" w:rsidRPr="00D44534">
        <w:rPr>
          <w:rFonts w:eastAsia="Batang"/>
        </w:rPr>
        <w:t>гипертензия</w:t>
      </w:r>
      <w:r w:rsidR="006825E7">
        <w:rPr>
          <w:rFonts w:eastAsia="Batang"/>
        </w:rPr>
        <w:t>.</w:t>
      </w:r>
    </w:p>
    <w:p w14:paraId="0D9B84A0" w14:textId="77777777" w:rsidR="004F09A1" w:rsidRDefault="004F09A1" w:rsidP="00C957E2">
      <w:pPr>
        <w:suppressAutoHyphens/>
        <w:spacing w:line="360" w:lineRule="auto"/>
        <w:rPr>
          <w:rFonts w:eastAsia="Batang"/>
        </w:rPr>
      </w:pPr>
      <w:r>
        <w:rPr>
          <w:rFonts w:eastAsia="Batang"/>
        </w:rPr>
        <w:t>Н</w:t>
      </w:r>
      <w:r w:rsidR="00842731" w:rsidRPr="00D44534">
        <w:rPr>
          <w:rFonts w:eastAsia="Batang"/>
        </w:rPr>
        <w:t>едавно перенесенный инфаркт миокарда</w:t>
      </w:r>
      <w:r>
        <w:rPr>
          <w:rFonts w:eastAsia="Batang"/>
        </w:rPr>
        <w:t xml:space="preserve">. </w:t>
      </w:r>
    </w:p>
    <w:p w14:paraId="223BA640" w14:textId="77777777" w:rsidR="00540D4F" w:rsidRPr="008A60BB" w:rsidRDefault="00E66568" w:rsidP="00C957E2">
      <w:pPr>
        <w:suppressAutoHyphens/>
        <w:spacing w:line="360" w:lineRule="auto"/>
        <w:rPr>
          <w:rFonts w:eastAsia="Batang"/>
        </w:rPr>
      </w:pPr>
      <w:r>
        <w:rPr>
          <w:rFonts w:eastAsia="Batang"/>
        </w:rPr>
        <w:t xml:space="preserve">Серьезные нарушения сердечного ритма, требующие </w:t>
      </w:r>
      <w:r w:rsidR="008A60BB">
        <w:rPr>
          <w:rFonts w:eastAsia="Batang"/>
        </w:rPr>
        <w:t xml:space="preserve">лекарственной терапии на момент назначения препарата </w:t>
      </w:r>
      <w:proofErr w:type="spellStart"/>
      <w:r w:rsidR="006E2758">
        <w:t>Перьета</w:t>
      </w:r>
      <w:proofErr w:type="spellEnd"/>
      <w:r w:rsidR="006E2758" w:rsidRPr="006E2758">
        <w:rPr>
          <w:vertAlign w:val="superscript"/>
        </w:rPr>
        <w:t>®</w:t>
      </w:r>
      <w:r w:rsidR="008A60BB" w:rsidRPr="008A60BB">
        <w:rPr>
          <w:rFonts w:eastAsia="Batang"/>
        </w:rPr>
        <w:t xml:space="preserve">, </w:t>
      </w:r>
      <w:r w:rsidR="00540D4F">
        <w:rPr>
          <w:rFonts w:eastAsia="Batang"/>
        </w:rPr>
        <w:t xml:space="preserve">за исключением фибрилляции предсердий и пароксизмальной </w:t>
      </w:r>
      <w:proofErr w:type="spellStart"/>
      <w:r w:rsidR="00540D4F">
        <w:rPr>
          <w:rFonts w:eastAsia="Batang"/>
        </w:rPr>
        <w:t>наджелудочковой</w:t>
      </w:r>
      <w:proofErr w:type="spellEnd"/>
      <w:r w:rsidR="00540D4F">
        <w:rPr>
          <w:rFonts w:eastAsia="Batang"/>
        </w:rPr>
        <w:t xml:space="preserve"> тахикардии</w:t>
      </w:r>
      <w:r>
        <w:rPr>
          <w:rFonts w:eastAsia="Batang"/>
        </w:rPr>
        <w:t>.</w:t>
      </w:r>
      <w:r w:rsidR="00540D4F">
        <w:rPr>
          <w:rFonts w:eastAsia="Batang"/>
        </w:rPr>
        <w:t xml:space="preserve"> </w:t>
      </w:r>
    </w:p>
    <w:p w14:paraId="65659A99" w14:textId="77777777" w:rsidR="00842731" w:rsidRPr="00085090" w:rsidRDefault="00842731" w:rsidP="00C957E2">
      <w:pPr>
        <w:suppressAutoHyphens/>
        <w:spacing w:line="360" w:lineRule="auto"/>
        <w:rPr>
          <w:rFonts w:eastAsia="Batang"/>
        </w:rPr>
      </w:pPr>
      <w:r w:rsidRPr="00D44534">
        <w:rPr>
          <w:rFonts w:eastAsia="Batang"/>
        </w:rPr>
        <w:t xml:space="preserve">Предшествующее лечение </w:t>
      </w:r>
      <w:proofErr w:type="spellStart"/>
      <w:r w:rsidRPr="00D44534">
        <w:rPr>
          <w:rFonts w:eastAsia="Batang"/>
        </w:rPr>
        <w:t>антрациклинами</w:t>
      </w:r>
      <w:proofErr w:type="spellEnd"/>
      <w:r w:rsidRPr="00D44534">
        <w:rPr>
          <w:rFonts w:eastAsia="Batang"/>
        </w:rPr>
        <w:t xml:space="preserve"> с кумулятивной дозой доксорубицина</w:t>
      </w:r>
      <w:r w:rsidR="00085090">
        <w:rPr>
          <w:rFonts w:eastAsia="Batang"/>
        </w:rPr>
        <w:t xml:space="preserve"> или эквивалентного препарата &gt;</w:t>
      </w:r>
      <w:r w:rsidRPr="00D44534">
        <w:rPr>
          <w:rFonts w:eastAsia="Batang"/>
        </w:rPr>
        <w:t>360 мг/м</w:t>
      </w:r>
      <w:r w:rsidR="00085090" w:rsidRPr="00085090">
        <w:rPr>
          <w:rFonts w:eastAsia="Batang"/>
          <w:vertAlign w:val="superscript"/>
        </w:rPr>
        <w:t>2</w:t>
      </w:r>
      <w:r w:rsidR="00085090">
        <w:rPr>
          <w:rFonts w:eastAsia="Batang"/>
        </w:rPr>
        <w:t>.</w:t>
      </w:r>
    </w:p>
    <w:p w14:paraId="05E8C603" w14:textId="77777777" w:rsidR="00842731" w:rsidRDefault="00622C64" w:rsidP="00C957E2">
      <w:pPr>
        <w:suppressAutoHyphens/>
        <w:spacing w:line="360" w:lineRule="auto"/>
      </w:pPr>
      <w:r>
        <w:t>Нарушения</w:t>
      </w:r>
      <w:r w:rsidR="00C45E36">
        <w:t xml:space="preserve"> функции печени</w:t>
      </w:r>
      <w:r w:rsidR="00947484">
        <w:t xml:space="preserve"> (эффективность и безопасность применения не изучались).</w:t>
      </w:r>
    </w:p>
    <w:p w14:paraId="4E01202E" w14:textId="77777777" w:rsidR="00085090" w:rsidRPr="00250B2E" w:rsidRDefault="00085090" w:rsidP="00C957E2">
      <w:pPr>
        <w:suppressAutoHyphens/>
        <w:spacing w:line="360" w:lineRule="auto"/>
      </w:pPr>
    </w:p>
    <w:p w14:paraId="1C3C5C4E" w14:textId="77777777" w:rsidR="008829D0" w:rsidRPr="00DC6F63" w:rsidRDefault="008829D0" w:rsidP="00C957E2">
      <w:pPr>
        <w:suppressAutoHyphens/>
        <w:spacing w:line="360" w:lineRule="auto"/>
        <w:rPr>
          <w:b/>
        </w:rPr>
      </w:pPr>
      <w:r w:rsidRPr="00DC6F63">
        <w:rPr>
          <w:b/>
        </w:rPr>
        <w:t>С осторожностью</w:t>
      </w:r>
    </w:p>
    <w:p w14:paraId="52ADDCC6" w14:textId="77777777" w:rsidR="008829D0" w:rsidRDefault="00ED5E22" w:rsidP="00C957E2">
      <w:pPr>
        <w:suppressAutoHyphens/>
        <w:spacing w:line="360" w:lineRule="auto"/>
        <w:ind w:right="-86"/>
        <w:rPr>
          <w:rFonts w:eastAsia="Batang"/>
          <w:color w:val="000000"/>
        </w:rPr>
      </w:pPr>
      <w:r>
        <w:rPr>
          <w:rFonts w:eastAsia="Batang"/>
          <w:color w:val="000000"/>
        </w:rPr>
        <w:t>Снижение</w:t>
      </w:r>
      <w:r w:rsidR="003910D3" w:rsidRPr="00007C81">
        <w:rPr>
          <w:rFonts w:eastAsia="Batang"/>
          <w:color w:val="000000"/>
        </w:rPr>
        <w:t xml:space="preserve"> ФВЛЖ до уровня &lt;50% на фоне предшествующей </w:t>
      </w:r>
      <w:proofErr w:type="spellStart"/>
      <w:r w:rsidR="003910D3" w:rsidRPr="00007C81">
        <w:rPr>
          <w:rFonts w:eastAsia="Batang"/>
          <w:color w:val="000000"/>
        </w:rPr>
        <w:t>адъювантной</w:t>
      </w:r>
      <w:proofErr w:type="spellEnd"/>
      <w:r w:rsidR="003910D3" w:rsidRPr="00007C81">
        <w:rPr>
          <w:rFonts w:eastAsia="Batang"/>
          <w:color w:val="000000"/>
        </w:rPr>
        <w:t xml:space="preserve"> терапии </w:t>
      </w:r>
      <w:proofErr w:type="spellStart"/>
      <w:r w:rsidR="00E856AD">
        <w:rPr>
          <w:rFonts w:eastAsia="Batang"/>
          <w:color w:val="000000"/>
        </w:rPr>
        <w:t>трастузумаб</w:t>
      </w:r>
      <w:r w:rsidR="00B67D09">
        <w:rPr>
          <w:rFonts w:eastAsia="Batang"/>
          <w:color w:val="000000"/>
        </w:rPr>
        <w:t>ом</w:t>
      </w:r>
      <w:proofErr w:type="spellEnd"/>
      <w:r w:rsidR="00881BAB">
        <w:rPr>
          <w:rFonts w:eastAsia="Batang"/>
          <w:color w:val="000000"/>
        </w:rPr>
        <w:t>.</w:t>
      </w:r>
      <w:r w:rsidR="00D44534">
        <w:rPr>
          <w:rFonts w:eastAsia="Batang"/>
          <w:color w:val="000000"/>
        </w:rPr>
        <w:t xml:space="preserve"> </w:t>
      </w:r>
      <w:r w:rsidR="00937190">
        <w:rPr>
          <w:rFonts w:eastAsia="Batang"/>
          <w:color w:val="000000"/>
        </w:rPr>
        <w:t>П</w:t>
      </w:r>
      <w:r w:rsidR="005D657A" w:rsidRPr="0069260B">
        <w:rPr>
          <w:rFonts w:eastAsia="Batang"/>
          <w:color w:val="000000"/>
        </w:rPr>
        <w:t xml:space="preserve">редшествующее лечение </w:t>
      </w:r>
      <w:proofErr w:type="spellStart"/>
      <w:r w:rsidR="005D657A" w:rsidRPr="0069260B">
        <w:rPr>
          <w:rFonts w:eastAsia="Batang"/>
          <w:color w:val="000000"/>
        </w:rPr>
        <w:t>антрациклинами</w:t>
      </w:r>
      <w:proofErr w:type="spellEnd"/>
      <w:r w:rsidR="00842731">
        <w:rPr>
          <w:rFonts w:eastAsia="Batang"/>
          <w:color w:val="000000"/>
        </w:rPr>
        <w:t xml:space="preserve"> </w:t>
      </w:r>
      <w:r w:rsidR="00937190">
        <w:rPr>
          <w:rFonts w:eastAsia="Batang"/>
          <w:color w:val="000000"/>
        </w:rPr>
        <w:t>или</w:t>
      </w:r>
      <w:r w:rsidR="0000627D">
        <w:rPr>
          <w:rFonts w:eastAsia="Batang"/>
          <w:color w:val="000000"/>
        </w:rPr>
        <w:t xml:space="preserve"> </w:t>
      </w:r>
      <w:r w:rsidR="00937190">
        <w:rPr>
          <w:rFonts w:eastAsia="Batang"/>
          <w:color w:val="000000"/>
        </w:rPr>
        <w:t>предшествующая</w:t>
      </w:r>
      <w:r w:rsidR="005E2BD5" w:rsidRPr="005E2BD5">
        <w:rPr>
          <w:rFonts w:eastAsia="Batang"/>
          <w:color w:val="000000"/>
        </w:rPr>
        <w:t xml:space="preserve"> лучев</w:t>
      </w:r>
      <w:r w:rsidR="00937190">
        <w:rPr>
          <w:rFonts w:eastAsia="Batang"/>
          <w:color w:val="000000"/>
        </w:rPr>
        <w:t>ая</w:t>
      </w:r>
      <w:r w:rsidR="005E2BD5" w:rsidRPr="005E2BD5">
        <w:rPr>
          <w:rFonts w:eastAsia="Batang"/>
          <w:color w:val="000000"/>
        </w:rPr>
        <w:t xml:space="preserve"> терапи</w:t>
      </w:r>
      <w:r w:rsidR="00937190">
        <w:rPr>
          <w:rFonts w:eastAsia="Batang"/>
          <w:color w:val="000000"/>
        </w:rPr>
        <w:t>я</w:t>
      </w:r>
      <w:r w:rsidR="009D7CE5" w:rsidRPr="00007C81">
        <w:rPr>
          <w:rFonts w:eastAsia="Batang"/>
          <w:color w:val="000000"/>
        </w:rPr>
        <w:t xml:space="preserve"> на область грудной клетки</w:t>
      </w:r>
      <w:r w:rsidR="00842731">
        <w:rPr>
          <w:rFonts w:eastAsia="Batang"/>
          <w:color w:val="000000"/>
        </w:rPr>
        <w:t>; состояния, которые способны нарушать функцию левого желудочка</w:t>
      </w:r>
      <w:r w:rsidR="00947484">
        <w:rPr>
          <w:rFonts w:eastAsia="Batang"/>
          <w:color w:val="000000"/>
        </w:rPr>
        <w:t xml:space="preserve">; </w:t>
      </w:r>
      <w:r w:rsidR="002E472C">
        <w:rPr>
          <w:rFonts w:eastAsia="Batang"/>
          <w:color w:val="000000"/>
        </w:rPr>
        <w:t>при нарушениях</w:t>
      </w:r>
      <w:r w:rsidR="00C45E36">
        <w:rPr>
          <w:rFonts w:eastAsia="Batang"/>
          <w:color w:val="000000"/>
        </w:rPr>
        <w:t xml:space="preserve"> функции почек</w:t>
      </w:r>
      <w:r w:rsidR="0000627D">
        <w:rPr>
          <w:rFonts w:eastAsia="Batang"/>
          <w:color w:val="000000"/>
        </w:rPr>
        <w:t>.</w:t>
      </w:r>
    </w:p>
    <w:p w14:paraId="72FB79DC" w14:textId="77777777" w:rsidR="00881BAB" w:rsidRDefault="00881BAB" w:rsidP="00C957E2">
      <w:pPr>
        <w:suppressAutoHyphens/>
        <w:spacing w:line="360" w:lineRule="auto"/>
        <w:ind w:right="-86"/>
        <w:rPr>
          <w:rFonts w:eastAsia="Batang"/>
          <w:color w:val="000000"/>
        </w:rPr>
      </w:pPr>
    </w:p>
    <w:p w14:paraId="347ED646" w14:textId="77777777" w:rsidR="00473E70" w:rsidRDefault="00473E70" w:rsidP="00C957E2">
      <w:pPr>
        <w:suppressAutoHyphens/>
        <w:spacing w:line="360" w:lineRule="auto"/>
        <w:ind w:right="-86"/>
        <w:rPr>
          <w:rFonts w:eastAsia="Batang"/>
          <w:b/>
          <w:color w:val="000000"/>
        </w:rPr>
      </w:pPr>
      <w:r w:rsidRPr="00DD31F9">
        <w:rPr>
          <w:rFonts w:eastAsia="Batang"/>
          <w:b/>
          <w:color w:val="000000"/>
        </w:rPr>
        <w:t>Применение при беременности и в период грудного вскармливания</w:t>
      </w:r>
    </w:p>
    <w:p w14:paraId="00EEFDE5" w14:textId="1EAA9606" w:rsidR="00473E70" w:rsidRDefault="00473E70" w:rsidP="00C957E2">
      <w:pPr>
        <w:suppressLineNumbers/>
        <w:spacing w:line="360" w:lineRule="auto"/>
        <w:rPr>
          <w:rFonts w:eastAsia="Batang"/>
          <w:color w:val="000000"/>
        </w:rPr>
      </w:pPr>
      <w:r w:rsidRPr="00007C81">
        <w:rPr>
          <w:rFonts w:eastAsia="Batang"/>
          <w:color w:val="000000"/>
        </w:rPr>
        <w:t>Женщины</w:t>
      </w:r>
      <w:r w:rsidR="005E61C3">
        <w:rPr>
          <w:rFonts w:eastAsia="Batang"/>
          <w:color w:val="000000"/>
        </w:rPr>
        <w:t xml:space="preserve"> с детородным потенциалом</w:t>
      </w:r>
      <w:r w:rsidRPr="00007C81">
        <w:rPr>
          <w:rFonts w:eastAsia="Batang"/>
          <w:color w:val="000000"/>
        </w:rPr>
        <w:t xml:space="preserve">, </w:t>
      </w:r>
      <w:r w:rsidR="001041D8">
        <w:rPr>
          <w:rFonts w:eastAsia="Batang"/>
          <w:color w:val="000000"/>
        </w:rPr>
        <w:t>включая</w:t>
      </w:r>
      <w:r w:rsidRPr="00007C81">
        <w:rPr>
          <w:rFonts w:eastAsia="Batang"/>
          <w:color w:val="000000"/>
        </w:rPr>
        <w:t xml:space="preserve"> женщин </w:t>
      </w:r>
      <w:r w:rsidR="005E61C3">
        <w:rPr>
          <w:rFonts w:eastAsia="Batang"/>
          <w:color w:val="000000"/>
        </w:rPr>
        <w:t>с детородным потенциалом</w:t>
      </w:r>
      <w:r w:rsidRPr="00007C81">
        <w:rPr>
          <w:rFonts w:eastAsia="Batang"/>
          <w:color w:val="000000"/>
        </w:rPr>
        <w:t xml:space="preserve">, </w:t>
      </w:r>
      <w:r w:rsidR="001041D8">
        <w:rPr>
          <w:rFonts w:eastAsia="Batang"/>
          <w:color w:val="000000"/>
        </w:rPr>
        <w:t xml:space="preserve">которые являются </w:t>
      </w:r>
      <w:r w:rsidRPr="00007C81">
        <w:rPr>
          <w:rFonts w:eastAsia="Batang"/>
          <w:color w:val="000000"/>
        </w:rPr>
        <w:t>половыми партнер</w:t>
      </w:r>
      <w:r w:rsidR="005E61C3">
        <w:rPr>
          <w:rFonts w:eastAsia="Batang"/>
          <w:color w:val="000000"/>
        </w:rPr>
        <w:t>ш</w:t>
      </w:r>
      <w:r w:rsidRPr="00007C81">
        <w:rPr>
          <w:rFonts w:eastAsia="Batang"/>
          <w:color w:val="000000"/>
        </w:rPr>
        <w:t>ами</w:t>
      </w:r>
      <w:r>
        <w:rPr>
          <w:rFonts w:eastAsia="Batang"/>
          <w:color w:val="000000"/>
        </w:rPr>
        <w:t xml:space="preserve"> пациентов, получающих препарат,</w:t>
      </w:r>
      <w:r w:rsidRPr="00007C81">
        <w:rPr>
          <w:rFonts w:eastAsia="Batang"/>
          <w:color w:val="000000"/>
        </w:rPr>
        <w:t xml:space="preserve"> на фоне применения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007C81">
        <w:rPr>
          <w:rFonts w:eastAsia="Batang"/>
          <w:color w:val="000000"/>
        </w:rPr>
        <w:t xml:space="preserve"> и в течение 6 месяцев после введения последней дозы</w:t>
      </w:r>
      <w:r>
        <w:rPr>
          <w:rFonts w:eastAsia="Batang"/>
          <w:color w:val="000000"/>
        </w:rPr>
        <w:t>,</w:t>
      </w:r>
      <w:r w:rsidRPr="00007C81">
        <w:rPr>
          <w:rFonts w:eastAsia="Batang"/>
          <w:color w:val="000000"/>
        </w:rPr>
        <w:t xml:space="preserve"> должны использовать эффективные ме</w:t>
      </w:r>
      <w:r>
        <w:rPr>
          <w:rFonts w:eastAsia="Batang"/>
          <w:color w:val="000000"/>
        </w:rPr>
        <w:t>тоды</w:t>
      </w:r>
      <w:r w:rsidRPr="00007C81">
        <w:rPr>
          <w:rFonts w:eastAsia="Batang"/>
          <w:color w:val="000000"/>
        </w:rPr>
        <w:t xml:space="preserve"> контрацепции.</w:t>
      </w:r>
      <w:r w:rsidRPr="007A66BD">
        <w:rPr>
          <w:rFonts w:eastAsia="Batang"/>
          <w:color w:val="000000"/>
        </w:rPr>
        <w:t xml:space="preserve"> </w:t>
      </w:r>
    </w:p>
    <w:p w14:paraId="6B8EF216" w14:textId="77777777" w:rsidR="00113BF2" w:rsidRDefault="0012542A" w:rsidP="00C957E2">
      <w:pPr>
        <w:suppressAutoHyphens/>
        <w:spacing w:line="360" w:lineRule="auto"/>
        <w:ind w:right="-86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В доклинических исследованиях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DD31F9">
        <w:rPr>
          <w:rFonts w:eastAsia="Batang"/>
          <w:color w:val="000000"/>
        </w:rPr>
        <w:t xml:space="preserve"> </w:t>
      </w:r>
      <w:r>
        <w:rPr>
          <w:rFonts w:eastAsia="Batang"/>
          <w:color w:val="000000"/>
        </w:rPr>
        <w:t xml:space="preserve">у яванских макак в период органогенеза были выявлены задержка развития почек, маловодие и </w:t>
      </w:r>
      <w:r w:rsidR="000A3CEB">
        <w:rPr>
          <w:rFonts w:eastAsia="Batang"/>
          <w:color w:val="000000"/>
        </w:rPr>
        <w:t>гибель</w:t>
      </w:r>
      <w:r>
        <w:rPr>
          <w:rFonts w:eastAsia="Batang"/>
          <w:color w:val="000000"/>
        </w:rPr>
        <w:t xml:space="preserve"> плода. </w:t>
      </w:r>
      <w:r w:rsidR="00113BF2" w:rsidRPr="001034DE">
        <w:rPr>
          <w:rFonts w:eastAsia="Batang"/>
          <w:color w:val="000000"/>
        </w:rPr>
        <w:t>Т</w:t>
      </w:r>
      <w:r w:rsidR="00E5393B" w:rsidRPr="001034DE">
        <w:rPr>
          <w:rFonts w:eastAsia="Batang"/>
          <w:color w:val="000000"/>
        </w:rPr>
        <w:t>аким</w:t>
      </w:r>
      <w:r w:rsidR="00113BF2" w:rsidRPr="001034DE">
        <w:rPr>
          <w:rFonts w:eastAsia="Batang"/>
          <w:color w:val="000000"/>
        </w:rPr>
        <w:t xml:space="preserve"> образом,</w:t>
      </w:r>
      <w:r w:rsidR="00415540" w:rsidRPr="001034DE">
        <w:rPr>
          <w:rFonts w:eastAsia="Batang"/>
          <w:color w:val="000000"/>
        </w:rPr>
        <w:t xml:space="preserve"> применение препарата </w:t>
      </w:r>
      <w:proofErr w:type="spellStart"/>
      <w:r w:rsidR="00415540" w:rsidRPr="001034DE">
        <w:rPr>
          <w:rFonts w:eastAsia="Batang"/>
          <w:color w:val="000000"/>
        </w:rPr>
        <w:t>Перьета</w:t>
      </w:r>
      <w:proofErr w:type="spellEnd"/>
      <w:r w:rsidR="00A15A1D" w:rsidRPr="001034DE">
        <w:rPr>
          <w:vertAlign w:val="superscript"/>
        </w:rPr>
        <w:t>®</w:t>
      </w:r>
      <w:r w:rsidR="00415540" w:rsidRPr="001034DE">
        <w:rPr>
          <w:rFonts w:eastAsia="Batang"/>
          <w:color w:val="000000"/>
        </w:rPr>
        <w:t xml:space="preserve"> беременными женщинами может оказывать отрицательное воздействие на плод согласно</w:t>
      </w:r>
      <w:r w:rsidR="00113BF2" w:rsidRPr="001034DE">
        <w:rPr>
          <w:rFonts w:eastAsia="Batang"/>
          <w:color w:val="000000"/>
        </w:rPr>
        <w:t xml:space="preserve"> </w:t>
      </w:r>
      <w:r w:rsidR="00415540" w:rsidRPr="001034DE">
        <w:rPr>
          <w:rFonts w:eastAsia="Batang"/>
          <w:color w:val="000000"/>
        </w:rPr>
        <w:t>данным</w:t>
      </w:r>
      <w:r w:rsidR="00882B42" w:rsidRPr="001034DE">
        <w:rPr>
          <w:rFonts w:eastAsia="Batang"/>
          <w:color w:val="000000"/>
        </w:rPr>
        <w:t xml:space="preserve"> </w:t>
      </w:r>
      <w:r w:rsidR="00113BF2" w:rsidRPr="001034DE">
        <w:rPr>
          <w:rFonts w:eastAsia="Batang"/>
          <w:color w:val="000000"/>
        </w:rPr>
        <w:t>доклинических иссле</w:t>
      </w:r>
      <w:r w:rsidR="00882B42" w:rsidRPr="001034DE">
        <w:rPr>
          <w:rFonts w:eastAsia="Batang"/>
          <w:color w:val="000000"/>
        </w:rPr>
        <w:t>дований</w:t>
      </w:r>
      <w:r w:rsidR="00CD6964" w:rsidRPr="001034DE">
        <w:rPr>
          <w:rFonts w:eastAsia="Batang"/>
          <w:color w:val="000000"/>
        </w:rPr>
        <w:t xml:space="preserve"> препарата</w:t>
      </w:r>
      <w:r w:rsidR="00882B42" w:rsidRPr="001034DE">
        <w:rPr>
          <w:rFonts w:eastAsia="Batang"/>
          <w:color w:val="000000"/>
        </w:rPr>
        <w:t xml:space="preserve"> и в силу </w:t>
      </w:r>
      <w:r w:rsidR="00415540" w:rsidRPr="001034DE">
        <w:rPr>
          <w:rFonts w:eastAsia="Batang"/>
          <w:color w:val="000000"/>
        </w:rPr>
        <w:t xml:space="preserve">его </w:t>
      </w:r>
      <w:r w:rsidR="00882B42" w:rsidRPr="001034DE">
        <w:rPr>
          <w:rFonts w:eastAsia="Batang"/>
          <w:color w:val="000000"/>
        </w:rPr>
        <w:t>механизма дейст</w:t>
      </w:r>
      <w:r w:rsidR="00415540" w:rsidRPr="001034DE">
        <w:rPr>
          <w:rFonts w:eastAsia="Batang"/>
          <w:color w:val="000000"/>
        </w:rPr>
        <w:t>вия.</w:t>
      </w:r>
      <w:r w:rsidR="005E3E96">
        <w:rPr>
          <w:rFonts w:eastAsia="Batang"/>
          <w:color w:val="000000"/>
        </w:rPr>
        <w:t xml:space="preserve"> </w:t>
      </w:r>
    </w:p>
    <w:p w14:paraId="65EA2329" w14:textId="77777777" w:rsidR="00F200CA" w:rsidRPr="007D0175" w:rsidRDefault="00CF201B" w:rsidP="00C957E2">
      <w:pPr>
        <w:suppressAutoHyphens/>
        <w:spacing w:line="360" w:lineRule="auto"/>
        <w:ind w:right="-86"/>
        <w:rPr>
          <w:rFonts w:eastAsia="Batang"/>
          <w:color w:val="000000"/>
        </w:rPr>
      </w:pPr>
      <w:r>
        <w:rPr>
          <w:lang w:eastAsia="ja-JP"/>
        </w:rPr>
        <w:t xml:space="preserve">Влияние препарата </w:t>
      </w:r>
      <w:proofErr w:type="spellStart"/>
      <w:r>
        <w:rPr>
          <w:lang w:eastAsia="ja-JP"/>
        </w:rPr>
        <w:t>Перьета</w:t>
      </w:r>
      <w:proofErr w:type="spellEnd"/>
      <w:r>
        <w:rPr>
          <w:vertAlign w:val="superscript"/>
          <w:lang w:eastAsia="ja-JP"/>
        </w:rPr>
        <w:t>®</w:t>
      </w:r>
      <w:r w:rsidRPr="00A02DEE">
        <w:rPr>
          <w:lang w:eastAsia="ja-JP"/>
        </w:rPr>
        <w:t xml:space="preserve"> </w:t>
      </w:r>
      <w:r>
        <w:rPr>
          <w:lang w:eastAsia="ja-JP"/>
        </w:rPr>
        <w:t>на фертильность не изучалось. Результаты экспериментов на животных не выявили признаков нарушения фертильности.</w:t>
      </w:r>
    </w:p>
    <w:p w14:paraId="6253DA4C" w14:textId="77777777" w:rsidR="00A6438D" w:rsidRPr="00F200CA" w:rsidRDefault="00A6438D" w:rsidP="00C957E2">
      <w:pPr>
        <w:suppressAutoHyphens/>
        <w:spacing w:line="360" w:lineRule="auto"/>
        <w:ind w:right="-86"/>
        <w:rPr>
          <w:rFonts w:eastAsia="Batang"/>
          <w:color w:val="000000"/>
        </w:rPr>
      </w:pPr>
    </w:p>
    <w:p w14:paraId="45EA7FDC" w14:textId="77777777" w:rsidR="008829D0" w:rsidRPr="007A66BD" w:rsidRDefault="008829D0" w:rsidP="00C957E2">
      <w:pPr>
        <w:suppressAutoHyphens/>
        <w:spacing w:line="360" w:lineRule="auto"/>
        <w:rPr>
          <w:b/>
          <w:kern w:val="36"/>
        </w:rPr>
      </w:pPr>
      <w:r w:rsidRPr="007A66BD">
        <w:rPr>
          <w:b/>
          <w:kern w:val="36"/>
        </w:rPr>
        <w:t>Способ применения и дозы</w:t>
      </w:r>
    </w:p>
    <w:p w14:paraId="41D01493" w14:textId="77777777" w:rsidR="00D64F2F" w:rsidRPr="009753E4" w:rsidRDefault="00D64F2F" w:rsidP="00C957E2">
      <w:pPr>
        <w:spacing w:line="360" w:lineRule="auto"/>
        <w:rPr>
          <w:b/>
          <w:i/>
          <w:color w:val="000000"/>
        </w:rPr>
      </w:pPr>
      <w:r w:rsidRPr="009753E4">
        <w:rPr>
          <w:b/>
          <w:i/>
          <w:color w:val="000000"/>
        </w:rPr>
        <w:t>Общие рекомендации</w:t>
      </w:r>
    </w:p>
    <w:p w14:paraId="5037E420" w14:textId="66B23055" w:rsidR="006E231F" w:rsidRPr="003A1548" w:rsidRDefault="001C118B" w:rsidP="00C957E2">
      <w:pPr>
        <w:spacing w:line="360" w:lineRule="auto"/>
        <w:rPr>
          <w:iCs/>
          <w:lang w:eastAsia="ja-JP"/>
        </w:rPr>
      </w:pPr>
      <w:r w:rsidRPr="007A66BD">
        <w:rPr>
          <w:color w:val="000000"/>
        </w:rPr>
        <w:t xml:space="preserve">До начала лечения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952737" w:rsidRPr="007A66BD">
        <w:rPr>
          <w:color w:val="000000"/>
        </w:rPr>
        <w:t xml:space="preserve"> необходимо </w:t>
      </w:r>
      <w:r w:rsidRPr="007A66BD">
        <w:rPr>
          <w:color w:val="000000"/>
        </w:rPr>
        <w:t>провести тестирование на опухолевую экспрессию</w:t>
      </w:r>
      <w:r w:rsidR="00952737" w:rsidRPr="007A66BD">
        <w:rPr>
          <w:color w:val="000000"/>
        </w:rPr>
        <w:t xml:space="preserve"> </w:t>
      </w:r>
      <w:r w:rsidR="00952737" w:rsidRPr="007A66BD">
        <w:rPr>
          <w:color w:val="000000"/>
          <w:lang w:val="en-US"/>
        </w:rPr>
        <w:t>HER</w:t>
      </w:r>
      <w:r w:rsidR="00952737" w:rsidRPr="007A66BD">
        <w:rPr>
          <w:color w:val="000000"/>
        </w:rPr>
        <w:t xml:space="preserve">2. Обязательным критерием является </w:t>
      </w:r>
      <w:r w:rsidR="00952737" w:rsidRPr="007A66BD">
        <w:rPr>
          <w:rFonts w:eastAsia="Batang"/>
          <w:color w:val="000000"/>
        </w:rPr>
        <w:t>3</w:t>
      </w:r>
      <w:r w:rsidRPr="007A66BD">
        <w:rPr>
          <w:rFonts w:eastAsia="Batang"/>
          <w:color w:val="000000"/>
        </w:rPr>
        <w:t xml:space="preserve">+ </w:t>
      </w:r>
      <w:r w:rsidR="00952737" w:rsidRPr="007A66BD">
        <w:rPr>
          <w:rFonts w:eastAsia="Batang"/>
          <w:color w:val="000000"/>
        </w:rPr>
        <w:t xml:space="preserve">балла по результатам </w:t>
      </w:r>
      <w:proofErr w:type="spellStart"/>
      <w:r w:rsidR="00952737" w:rsidRPr="007A66BD">
        <w:rPr>
          <w:rFonts w:eastAsia="Batang"/>
          <w:color w:val="000000"/>
        </w:rPr>
        <w:t>имму</w:t>
      </w:r>
      <w:r w:rsidR="00A85EAD" w:rsidRPr="007A66BD">
        <w:rPr>
          <w:rFonts w:eastAsia="Batang"/>
          <w:color w:val="000000"/>
        </w:rPr>
        <w:t>ногистохимического</w:t>
      </w:r>
      <w:proofErr w:type="spellEnd"/>
      <w:r w:rsidR="00A85EAD" w:rsidRPr="007A66BD">
        <w:rPr>
          <w:rFonts w:eastAsia="Batang"/>
          <w:color w:val="000000"/>
        </w:rPr>
        <w:t xml:space="preserve"> анализа</w:t>
      </w:r>
      <w:r w:rsidR="005024B6">
        <w:rPr>
          <w:rFonts w:eastAsia="Batang"/>
          <w:color w:val="000000"/>
        </w:rPr>
        <w:t xml:space="preserve"> (</w:t>
      </w:r>
      <w:r w:rsidR="005024B6">
        <w:rPr>
          <w:rFonts w:eastAsia="Batang"/>
          <w:color w:val="000000"/>
          <w:lang w:val="en-US"/>
        </w:rPr>
        <w:t>IHC</w:t>
      </w:r>
      <w:r w:rsidR="009D7CE5" w:rsidRPr="00007C81">
        <w:rPr>
          <w:rFonts w:eastAsia="Batang"/>
          <w:color w:val="000000"/>
        </w:rPr>
        <w:t>)</w:t>
      </w:r>
      <w:r w:rsidR="00952737" w:rsidRPr="007A66BD">
        <w:rPr>
          <w:rFonts w:eastAsia="Batang"/>
          <w:color w:val="000000"/>
        </w:rPr>
        <w:t xml:space="preserve"> и/или степень амплификации ≥2</w:t>
      </w:r>
      <w:r w:rsidR="007E171C" w:rsidRPr="00007C81">
        <w:rPr>
          <w:rFonts w:eastAsia="Batang"/>
          <w:color w:val="000000"/>
        </w:rPr>
        <w:t>.</w:t>
      </w:r>
      <w:r w:rsidR="00952737" w:rsidRPr="007A66BD">
        <w:rPr>
          <w:rFonts w:eastAsia="Batang"/>
          <w:color w:val="000000"/>
        </w:rPr>
        <w:t xml:space="preserve">0 </w:t>
      </w:r>
      <w:r w:rsidR="00A85EAD" w:rsidRPr="007A66BD">
        <w:rPr>
          <w:rFonts w:eastAsia="Batang"/>
          <w:color w:val="000000"/>
        </w:rPr>
        <w:t>по результатам</w:t>
      </w:r>
      <w:r w:rsidR="00952737" w:rsidRPr="007A66BD">
        <w:rPr>
          <w:rFonts w:eastAsia="Batang"/>
          <w:color w:val="000000"/>
        </w:rPr>
        <w:t xml:space="preserve"> гибридизации </w:t>
      </w:r>
      <w:r w:rsidR="00952737" w:rsidRPr="007A66BD">
        <w:rPr>
          <w:rFonts w:eastAsia="Batang"/>
          <w:i/>
          <w:color w:val="000000"/>
        </w:rPr>
        <w:t xml:space="preserve">in </w:t>
      </w:r>
      <w:proofErr w:type="spellStart"/>
      <w:r w:rsidR="00952737" w:rsidRPr="007A66BD">
        <w:rPr>
          <w:rFonts w:eastAsia="Batang"/>
          <w:i/>
          <w:color w:val="000000"/>
        </w:rPr>
        <w:t>situ</w:t>
      </w:r>
      <w:proofErr w:type="spellEnd"/>
      <w:r w:rsidR="009D7CE5" w:rsidRPr="00007C81">
        <w:rPr>
          <w:rFonts w:eastAsia="Batang"/>
          <w:i/>
          <w:color w:val="000000"/>
        </w:rPr>
        <w:t xml:space="preserve"> </w:t>
      </w:r>
      <w:r w:rsidR="009D7CE5" w:rsidRPr="00007C81">
        <w:rPr>
          <w:rFonts w:eastAsia="Batang"/>
          <w:color w:val="000000"/>
        </w:rPr>
        <w:t>(</w:t>
      </w:r>
      <w:r w:rsidR="005024B6">
        <w:rPr>
          <w:rFonts w:eastAsia="Batang"/>
          <w:color w:val="000000"/>
          <w:lang w:val="en-US"/>
        </w:rPr>
        <w:t>ISH</w:t>
      </w:r>
      <w:r w:rsidR="009D7CE5" w:rsidRPr="00007C81">
        <w:rPr>
          <w:rFonts w:eastAsia="Batang"/>
          <w:color w:val="000000"/>
        </w:rPr>
        <w:t>)</w:t>
      </w:r>
      <w:r w:rsidR="00952737" w:rsidRPr="007A66BD">
        <w:rPr>
          <w:rFonts w:eastAsia="Batang"/>
          <w:color w:val="000000"/>
        </w:rPr>
        <w:t>.</w:t>
      </w:r>
      <w:r w:rsidR="00A85EAD" w:rsidRPr="007A66BD">
        <w:rPr>
          <w:rFonts w:eastAsia="Batang"/>
          <w:color w:val="000000"/>
        </w:rPr>
        <w:t xml:space="preserve"> </w:t>
      </w:r>
      <w:r w:rsidR="00EB0426" w:rsidRPr="00EB0426">
        <w:rPr>
          <w:iCs/>
          <w:lang w:eastAsia="ja-JP"/>
        </w:rPr>
        <w:t xml:space="preserve">Следует использовать точные и </w:t>
      </w:r>
      <w:proofErr w:type="spellStart"/>
      <w:r w:rsidR="00EB0426" w:rsidRPr="00EB0426">
        <w:rPr>
          <w:iCs/>
          <w:lang w:eastAsia="ja-JP"/>
        </w:rPr>
        <w:t>в</w:t>
      </w:r>
      <w:r w:rsidR="00937190">
        <w:rPr>
          <w:iCs/>
          <w:lang w:eastAsia="ja-JP"/>
        </w:rPr>
        <w:t>алидированные</w:t>
      </w:r>
      <w:proofErr w:type="spellEnd"/>
      <w:r w:rsidR="00937190">
        <w:rPr>
          <w:iCs/>
          <w:lang w:eastAsia="ja-JP"/>
        </w:rPr>
        <w:t xml:space="preserve"> методы тестирования</w:t>
      </w:r>
      <w:r w:rsidR="00EB0426" w:rsidRPr="00EB0426">
        <w:rPr>
          <w:iCs/>
          <w:lang w:eastAsia="ja-JP"/>
        </w:rPr>
        <w:t>.</w:t>
      </w:r>
      <w:r w:rsidR="00A70EBA">
        <w:rPr>
          <w:iCs/>
          <w:lang w:eastAsia="ja-JP"/>
        </w:rPr>
        <w:t xml:space="preserve"> </w:t>
      </w:r>
      <w:r w:rsidR="006E231F">
        <w:rPr>
          <w:iCs/>
          <w:lang w:eastAsia="ja-JP"/>
        </w:rPr>
        <w:t xml:space="preserve">Подробные указания по проведению </w:t>
      </w:r>
      <w:r w:rsidR="006E231F">
        <w:rPr>
          <w:iCs/>
          <w:lang w:val="en-US" w:eastAsia="ja-JP"/>
        </w:rPr>
        <w:t>HER</w:t>
      </w:r>
      <w:r w:rsidR="006E231F">
        <w:rPr>
          <w:iCs/>
          <w:lang w:eastAsia="ja-JP"/>
        </w:rPr>
        <w:t xml:space="preserve">2-тестирования и </w:t>
      </w:r>
      <w:r w:rsidR="006E231F">
        <w:rPr>
          <w:iCs/>
          <w:lang w:eastAsia="ja-JP"/>
        </w:rPr>
        <w:lastRenderedPageBreak/>
        <w:t xml:space="preserve">интерпретации его результатов приведены в инструкциях по применению валидированных тест-систем, предназначенных для определения </w:t>
      </w:r>
      <w:r w:rsidR="006E231F">
        <w:rPr>
          <w:iCs/>
          <w:lang w:val="en-US" w:eastAsia="ja-JP"/>
        </w:rPr>
        <w:t>HER</w:t>
      </w:r>
      <w:r w:rsidR="006E231F" w:rsidRPr="00A02DEE">
        <w:rPr>
          <w:iCs/>
          <w:lang w:eastAsia="ja-JP"/>
        </w:rPr>
        <w:t xml:space="preserve">2 </w:t>
      </w:r>
      <w:r w:rsidR="009E4769">
        <w:rPr>
          <w:iCs/>
          <w:lang w:eastAsia="ja-JP"/>
        </w:rPr>
        <w:t>статуса.</w:t>
      </w:r>
    </w:p>
    <w:p w14:paraId="0042E821" w14:textId="668CF6DB" w:rsidR="000C6319" w:rsidRDefault="000C6319" w:rsidP="000C6319">
      <w:pPr>
        <w:spacing w:line="360" w:lineRule="auto"/>
      </w:pPr>
      <w:r w:rsidRPr="00114E4B">
        <w:t xml:space="preserve">Препарат </w:t>
      </w:r>
      <w:proofErr w:type="spellStart"/>
      <w:r w:rsidRPr="00114E4B">
        <w:t>Перьета</w:t>
      </w:r>
      <w:proofErr w:type="spellEnd"/>
      <w:r w:rsidRPr="00114E4B">
        <w:rPr>
          <w:vertAlign w:val="superscript"/>
        </w:rPr>
        <w:t>®</w:t>
      </w:r>
      <w:r w:rsidR="00404947" w:rsidRPr="00114E4B">
        <w:t xml:space="preserve"> должен вводиться квалифицированным </w:t>
      </w:r>
      <w:r w:rsidRPr="00114E4B">
        <w:t>медицинским персоналом. Препарат предназначен для введения как в амбулаторно-поликлинических, так и в стационарных условиях.</w:t>
      </w:r>
    </w:p>
    <w:p w14:paraId="6CE4DD40" w14:textId="77777777" w:rsidR="009F1587" w:rsidRDefault="00A17203" w:rsidP="00C957E2">
      <w:pPr>
        <w:spacing w:line="360" w:lineRule="auto"/>
        <w:rPr>
          <w:b/>
          <w:color w:val="000000"/>
        </w:rPr>
      </w:pPr>
      <w:r w:rsidRPr="00A6438D">
        <w:rPr>
          <w:b/>
          <w:iCs/>
          <w:color w:val="000000"/>
        </w:rPr>
        <w:t xml:space="preserve">Препарат </w:t>
      </w:r>
      <w:proofErr w:type="spellStart"/>
      <w:r w:rsidR="009E4769" w:rsidRPr="009E4769">
        <w:rPr>
          <w:b/>
        </w:rPr>
        <w:t>Перьета</w:t>
      </w:r>
      <w:proofErr w:type="spellEnd"/>
      <w:r w:rsidR="009E4769" w:rsidRPr="009E4769">
        <w:rPr>
          <w:b/>
          <w:vertAlign w:val="superscript"/>
        </w:rPr>
        <w:t>®</w:t>
      </w:r>
      <w:r w:rsidR="009F1587" w:rsidRPr="00A6438D">
        <w:rPr>
          <w:b/>
          <w:color w:val="000000"/>
        </w:rPr>
        <w:t xml:space="preserve"> </w:t>
      </w:r>
      <w:r w:rsidR="00A85EAD" w:rsidRPr="00A6438D">
        <w:rPr>
          <w:b/>
          <w:color w:val="000000"/>
        </w:rPr>
        <w:t xml:space="preserve">вводят только внутривенно капельно! Вводить препарат внутривенно струйно или болюсно нельзя! </w:t>
      </w:r>
    </w:p>
    <w:p w14:paraId="1BC13801" w14:textId="77777777" w:rsidR="00141F1A" w:rsidRDefault="00141F1A" w:rsidP="00141F1A">
      <w:pPr>
        <w:spacing w:line="360" w:lineRule="auto"/>
        <w:rPr>
          <w:rFonts w:eastAsia="Batang"/>
        </w:rPr>
      </w:pPr>
      <w:r w:rsidRPr="007A66BD">
        <w:rPr>
          <w:rFonts w:eastAsia="Batang"/>
        </w:rPr>
        <w:t xml:space="preserve">Длительность инфузии при введении первой дозы должна составлять 60 минут. Если первая инфузия переносится хорошо, </w:t>
      </w:r>
      <w:r>
        <w:rPr>
          <w:rFonts w:eastAsia="Batang"/>
        </w:rPr>
        <w:t>последующ</w:t>
      </w:r>
      <w:r w:rsidRPr="007A66BD">
        <w:rPr>
          <w:rFonts w:eastAsia="Batang"/>
        </w:rPr>
        <w:t>ие можн</w:t>
      </w:r>
      <w:r>
        <w:rPr>
          <w:rFonts w:eastAsia="Batang"/>
        </w:rPr>
        <w:t>о проводить на протяжении 30-60 минут.</w:t>
      </w:r>
      <w:r w:rsidRPr="007A66BD">
        <w:rPr>
          <w:rFonts w:eastAsia="Batang"/>
        </w:rPr>
        <w:t xml:space="preserve"> </w:t>
      </w:r>
    </w:p>
    <w:p w14:paraId="6AD09625" w14:textId="34A19EC0" w:rsidR="00FE4D02" w:rsidRPr="008C6871" w:rsidRDefault="00FE4D02" w:rsidP="00C957E2">
      <w:pPr>
        <w:spacing w:line="360" w:lineRule="auto"/>
        <w:rPr>
          <w:b/>
          <w:i/>
          <w:color w:val="000000"/>
        </w:rPr>
      </w:pPr>
      <w:r w:rsidRPr="008C6871">
        <w:rPr>
          <w:b/>
          <w:i/>
          <w:color w:val="000000"/>
        </w:rPr>
        <w:t xml:space="preserve">Метастатический </w:t>
      </w:r>
      <w:r w:rsidR="002A77DD" w:rsidRPr="008C6871">
        <w:rPr>
          <w:b/>
          <w:i/>
          <w:color w:val="000000"/>
        </w:rPr>
        <w:t>рак молочной железы</w:t>
      </w:r>
      <w:r w:rsidR="004C3F9D">
        <w:rPr>
          <w:b/>
          <w:i/>
          <w:color w:val="000000"/>
        </w:rPr>
        <w:t xml:space="preserve"> (РМЖ)</w:t>
      </w:r>
      <w:r w:rsidR="002A77DD" w:rsidRPr="008C6871">
        <w:rPr>
          <w:b/>
          <w:i/>
          <w:color w:val="000000"/>
        </w:rPr>
        <w:t xml:space="preserve"> </w:t>
      </w:r>
      <w:r w:rsidRPr="008C6871">
        <w:rPr>
          <w:b/>
          <w:i/>
          <w:color w:val="000000"/>
        </w:rPr>
        <w:t xml:space="preserve">и </w:t>
      </w:r>
      <w:proofErr w:type="spellStart"/>
      <w:r w:rsidR="005F2311">
        <w:rPr>
          <w:b/>
          <w:i/>
          <w:color w:val="000000"/>
        </w:rPr>
        <w:t>неметастатический</w:t>
      </w:r>
      <w:proofErr w:type="spellEnd"/>
      <w:r w:rsidR="002A77DD">
        <w:rPr>
          <w:b/>
          <w:i/>
          <w:color w:val="000000"/>
        </w:rPr>
        <w:t xml:space="preserve"> </w:t>
      </w:r>
      <w:r w:rsidR="004C3F9D">
        <w:rPr>
          <w:b/>
          <w:i/>
          <w:color w:val="000000"/>
        </w:rPr>
        <w:t>РМЖ</w:t>
      </w:r>
      <w:r w:rsidRPr="008C6871">
        <w:rPr>
          <w:b/>
          <w:i/>
          <w:color w:val="000000"/>
        </w:rPr>
        <w:t xml:space="preserve"> </w:t>
      </w:r>
    </w:p>
    <w:p w14:paraId="4B7591D6" w14:textId="11A25A96" w:rsidR="00640B6B" w:rsidRDefault="008A7049" w:rsidP="00FE4D02">
      <w:pPr>
        <w:spacing w:line="360" w:lineRule="auto"/>
        <w:rPr>
          <w:rFonts w:eastAsia="Batang"/>
          <w:color w:val="000000"/>
        </w:rPr>
      </w:pPr>
      <w:r w:rsidRPr="007A66BD">
        <w:rPr>
          <w:rFonts w:eastAsia="Batang"/>
          <w:i/>
          <w:color w:val="000000"/>
        </w:rPr>
        <w:t>Н</w:t>
      </w:r>
      <w:r w:rsidR="00F577D7" w:rsidRPr="007A66BD">
        <w:rPr>
          <w:rFonts w:eastAsia="Batang"/>
          <w:i/>
          <w:color w:val="000000"/>
        </w:rPr>
        <w:t>а</w:t>
      </w:r>
      <w:r w:rsidR="00AE41C7">
        <w:rPr>
          <w:rFonts w:eastAsia="Batang"/>
          <w:i/>
          <w:color w:val="000000"/>
        </w:rPr>
        <w:t>грузочная</w:t>
      </w:r>
      <w:r w:rsidR="00F577D7" w:rsidRPr="007A66BD">
        <w:rPr>
          <w:rFonts w:eastAsia="Batang"/>
          <w:i/>
          <w:color w:val="000000"/>
        </w:rPr>
        <w:t xml:space="preserve"> доза </w:t>
      </w:r>
      <w:r w:rsidR="00F577D7" w:rsidRPr="00D75E9C">
        <w:rPr>
          <w:rFonts w:eastAsia="Batang"/>
          <w:color w:val="000000"/>
        </w:rPr>
        <w:t>препарата</w:t>
      </w:r>
      <w:r w:rsidR="00027887" w:rsidRPr="00D75E9C">
        <w:rPr>
          <w:rFonts w:eastAsia="Batang"/>
          <w:color w:val="000000"/>
        </w:rPr>
        <w:t xml:space="preserve"> </w:t>
      </w:r>
      <w:proofErr w:type="spellStart"/>
      <w:r w:rsidR="009E4769" w:rsidRPr="00D75E9C">
        <w:t>Перьета</w:t>
      </w:r>
      <w:proofErr w:type="spellEnd"/>
      <w:r w:rsidR="009E4769" w:rsidRPr="00D77C46">
        <w:rPr>
          <w:vertAlign w:val="superscript"/>
        </w:rPr>
        <w:t>®</w:t>
      </w:r>
      <w:r w:rsidR="00F577D7" w:rsidRPr="0000627D">
        <w:rPr>
          <w:rFonts w:eastAsia="Batang"/>
          <w:color w:val="000000"/>
        </w:rPr>
        <w:t xml:space="preserve"> </w:t>
      </w:r>
      <w:r w:rsidR="00F577D7" w:rsidRPr="007A66BD">
        <w:rPr>
          <w:rFonts w:eastAsia="Batang"/>
          <w:color w:val="000000"/>
        </w:rPr>
        <w:t>составляет 840 мг</w:t>
      </w:r>
      <w:r w:rsidR="002E0AAC" w:rsidRPr="007A66BD">
        <w:rPr>
          <w:rFonts w:eastAsia="Batang"/>
          <w:color w:val="000000"/>
        </w:rPr>
        <w:t xml:space="preserve"> в виде 60 минутной </w:t>
      </w:r>
      <w:r w:rsidR="00F577D7" w:rsidRPr="007A66BD">
        <w:rPr>
          <w:rFonts w:eastAsia="Batang"/>
          <w:color w:val="000000"/>
        </w:rPr>
        <w:t xml:space="preserve">внутривенной </w:t>
      </w:r>
      <w:r w:rsidR="002E0AAC" w:rsidRPr="007A66BD">
        <w:rPr>
          <w:rFonts w:eastAsia="Batang"/>
          <w:color w:val="000000"/>
        </w:rPr>
        <w:t xml:space="preserve">капельной </w:t>
      </w:r>
      <w:r w:rsidR="00F577D7" w:rsidRPr="007A66BD">
        <w:rPr>
          <w:rFonts w:eastAsia="Batang"/>
          <w:color w:val="000000"/>
        </w:rPr>
        <w:t>инфузии</w:t>
      </w:r>
      <w:r w:rsidR="002E0AAC" w:rsidRPr="007A66BD">
        <w:rPr>
          <w:rFonts w:eastAsia="Batang"/>
          <w:color w:val="000000"/>
        </w:rPr>
        <w:t xml:space="preserve">. </w:t>
      </w:r>
      <w:r w:rsidR="00BC64BE">
        <w:rPr>
          <w:rFonts w:eastAsia="Batang"/>
          <w:color w:val="000000"/>
        </w:rPr>
        <w:t>Д</w:t>
      </w:r>
      <w:r w:rsidR="00BC64BE" w:rsidRPr="007A66BD">
        <w:rPr>
          <w:rFonts w:eastAsia="Batang"/>
          <w:color w:val="000000"/>
        </w:rPr>
        <w:t xml:space="preserve">алее </w:t>
      </w:r>
      <w:r w:rsidR="00FB41F0">
        <w:rPr>
          <w:rFonts w:eastAsia="Batang"/>
          <w:color w:val="000000"/>
        </w:rPr>
        <w:t>ч</w:t>
      </w:r>
      <w:r w:rsidR="002E0AAC" w:rsidRPr="007A66BD">
        <w:rPr>
          <w:rFonts w:eastAsia="Batang"/>
          <w:color w:val="000000"/>
        </w:rPr>
        <w:t xml:space="preserve">ерез 3 недели </w:t>
      </w:r>
      <w:r w:rsidR="00BC64BE">
        <w:rPr>
          <w:rFonts w:eastAsia="Batang"/>
          <w:color w:val="000000"/>
        </w:rPr>
        <w:t xml:space="preserve">и </w:t>
      </w:r>
      <w:r w:rsidR="002E0AAC" w:rsidRPr="007A66BD">
        <w:rPr>
          <w:rFonts w:eastAsia="Batang"/>
          <w:color w:val="000000"/>
        </w:rPr>
        <w:t xml:space="preserve">каждые 3 недели вводится </w:t>
      </w:r>
      <w:r w:rsidR="00731D73" w:rsidRPr="00D44534">
        <w:rPr>
          <w:rFonts w:eastAsia="Batang"/>
          <w:i/>
          <w:color w:val="000000"/>
        </w:rPr>
        <w:t xml:space="preserve">поддерживающая </w:t>
      </w:r>
      <w:r w:rsidR="002E0AAC" w:rsidRPr="00D44534">
        <w:rPr>
          <w:rFonts w:eastAsia="Batang"/>
          <w:i/>
          <w:color w:val="000000"/>
        </w:rPr>
        <w:t>доза</w:t>
      </w:r>
      <w:r w:rsidR="002E0AAC" w:rsidRPr="00250B2E">
        <w:rPr>
          <w:rFonts w:eastAsia="Batang"/>
          <w:color w:val="000000"/>
        </w:rPr>
        <w:t xml:space="preserve"> </w:t>
      </w:r>
      <w:r w:rsidR="00497F16" w:rsidRPr="00E43FBA">
        <w:rPr>
          <w:rFonts w:eastAsia="Batang"/>
          <w:color w:val="000000"/>
        </w:rPr>
        <w:t xml:space="preserve">препарата </w:t>
      </w:r>
      <w:proofErr w:type="spellStart"/>
      <w:r w:rsidR="00497F16" w:rsidRPr="00E43FBA">
        <w:t>Перьета</w:t>
      </w:r>
      <w:proofErr w:type="spellEnd"/>
      <w:r w:rsidR="00497F16" w:rsidRPr="00E43FBA">
        <w:rPr>
          <w:vertAlign w:val="superscript"/>
        </w:rPr>
        <w:t>®</w:t>
      </w:r>
      <w:r w:rsidR="00497F16" w:rsidRPr="00E43FBA">
        <w:rPr>
          <w:rFonts w:eastAsia="Batang"/>
          <w:color w:val="000000"/>
        </w:rPr>
        <w:t xml:space="preserve"> </w:t>
      </w:r>
      <w:r w:rsidR="002E0AAC" w:rsidRPr="00250B2E">
        <w:rPr>
          <w:rFonts w:eastAsia="Batang"/>
          <w:color w:val="000000"/>
        </w:rPr>
        <w:t>420 мг</w:t>
      </w:r>
      <w:r w:rsidR="00731D73" w:rsidRPr="00250B2E">
        <w:rPr>
          <w:rFonts w:eastAsia="Batang"/>
          <w:color w:val="000000"/>
        </w:rPr>
        <w:t xml:space="preserve"> </w:t>
      </w:r>
      <w:r w:rsidR="003830E9">
        <w:rPr>
          <w:rFonts w:eastAsia="Batang"/>
          <w:color w:val="000000"/>
        </w:rPr>
        <w:t>в виде</w:t>
      </w:r>
      <w:r w:rsidR="0000627D">
        <w:rPr>
          <w:rFonts w:eastAsia="Batang"/>
          <w:color w:val="000000"/>
        </w:rPr>
        <w:t xml:space="preserve"> 30-</w:t>
      </w:r>
      <w:r w:rsidR="00731D73" w:rsidRPr="00250B2E">
        <w:rPr>
          <w:rFonts w:eastAsia="Batang"/>
          <w:color w:val="000000"/>
        </w:rPr>
        <w:t>60 минут</w:t>
      </w:r>
      <w:r w:rsidR="003830E9">
        <w:rPr>
          <w:rFonts w:eastAsia="Batang"/>
          <w:color w:val="000000"/>
        </w:rPr>
        <w:t>ной инфузии</w:t>
      </w:r>
      <w:r w:rsidR="002E0AAC" w:rsidRPr="00D6695C">
        <w:rPr>
          <w:rFonts w:eastAsia="Batang"/>
          <w:color w:val="000000"/>
        </w:rPr>
        <w:t xml:space="preserve">. </w:t>
      </w:r>
    </w:p>
    <w:p w14:paraId="2E06ADB4" w14:textId="73EDA820" w:rsidR="00FE4D02" w:rsidRPr="00E43FBA" w:rsidRDefault="00640B6B" w:rsidP="00FE4D02">
      <w:pPr>
        <w:spacing w:line="360" w:lineRule="auto"/>
        <w:rPr>
          <w:noProof/>
        </w:rPr>
      </w:pPr>
      <w:r w:rsidRPr="00E43FBA">
        <w:rPr>
          <w:rFonts w:eastAsia="Batang"/>
          <w:color w:val="000000"/>
        </w:rPr>
        <w:t xml:space="preserve">После </w:t>
      </w:r>
      <w:r w:rsidR="006E77A0" w:rsidRPr="00E43FBA">
        <w:rPr>
          <w:rFonts w:eastAsia="Batang"/>
          <w:color w:val="000000"/>
        </w:rPr>
        <w:t xml:space="preserve">завершения </w:t>
      </w:r>
      <w:r w:rsidRPr="00E43FBA">
        <w:rPr>
          <w:rFonts w:eastAsia="Batang"/>
          <w:color w:val="000000"/>
        </w:rPr>
        <w:t xml:space="preserve">каждой инфузии препарата </w:t>
      </w:r>
      <w:proofErr w:type="spellStart"/>
      <w:r w:rsidRPr="00E43FBA">
        <w:t>Перьета</w:t>
      </w:r>
      <w:proofErr w:type="spellEnd"/>
      <w:r w:rsidRPr="00E43FBA">
        <w:rPr>
          <w:vertAlign w:val="superscript"/>
        </w:rPr>
        <w:t>®</w:t>
      </w:r>
      <w:r w:rsidRPr="00E43FBA">
        <w:rPr>
          <w:rFonts w:eastAsia="Batang"/>
          <w:color w:val="000000"/>
        </w:rPr>
        <w:t xml:space="preserve"> рекомендуется наблюдение за пациентом в течение 30-60 минут. </w:t>
      </w:r>
      <w:r w:rsidR="00DE17DB" w:rsidRPr="00E43FBA">
        <w:rPr>
          <w:rFonts w:eastAsia="Batang"/>
          <w:color w:val="000000"/>
        </w:rPr>
        <w:t>П</w:t>
      </w:r>
      <w:r w:rsidRPr="00E43FBA">
        <w:rPr>
          <w:rFonts w:eastAsia="Batang"/>
          <w:color w:val="000000"/>
        </w:rPr>
        <w:t xml:space="preserve">ериод наблюдения должен быть завершен до момента </w:t>
      </w:r>
      <w:r w:rsidR="00EE1704" w:rsidRPr="00E43FBA">
        <w:rPr>
          <w:rFonts w:eastAsia="Batang"/>
          <w:color w:val="000000"/>
        </w:rPr>
        <w:t xml:space="preserve">последующего </w:t>
      </w:r>
      <w:r w:rsidRPr="00E43FBA">
        <w:rPr>
          <w:rFonts w:eastAsia="Batang"/>
          <w:color w:val="000000"/>
        </w:rPr>
        <w:t>введения трастузумаба или химиотерапии.</w:t>
      </w:r>
      <w:r w:rsidRPr="00E43FBA">
        <w:rPr>
          <w:noProof/>
        </w:rPr>
        <w:t xml:space="preserve"> </w:t>
      </w:r>
    </w:p>
    <w:p w14:paraId="437936EC" w14:textId="303CD9A4" w:rsidR="00227772" w:rsidRPr="007B394E" w:rsidRDefault="00897533" w:rsidP="0068796A">
      <w:pPr>
        <w:spacing w:line="360" w:lineRule="auto"/>
        <w:rPr>
          <w:rFonts w:eastAsia="Batang"/>
          <w:color w:val="000000"/>
        </w:rPr>
      </w:pPr>
      <w:r w:rsidRPr="00E43FBA">
        <w:rPr>
          <w:noProof/>
        </w:rPr>
        <w:t xml:space="preserve">Препарат </w:t>
      </w:r>
      <w:proofErr w:type="spellStart"/>
      <w:r w:rsidRPr="00E43FBA">
        <w:t>Перьета</w:t>
      </w:r>
      <w:proofErr w:type="spellEnd"/>
      <w:r w:rsidRPr="00E43FBA">
        <w:rPr>
          <w:vertAlign w:val="superscript"/>
        </w:rPr>
        <w:t>®</w:t>
      </w:r>
      <w:r w:rsidRPr="00E43FBA">
        <w:rPr>
          <w:noProof/>
        </w:rPr>
        <w:t xml:space="preserve"> и трастузумаб должны применяться только последовательно. </w:t>
      </w:r>
      <w:r w:rsidRPr="00E43FBA">
        <w:rPr>
          <w:rFonts w:eastAsia="Batang"/>
          <w:color w:val="000000"/>
        </w:rPr>
        <w:t xml:space="preserve">Препарат </w:t>
      </w:r>
      <w:proofErr w:type="spellStart"/>
      <w:r w:rsidRPr="00E43FBA">
        <w:t>Перьета</w:t>
      </w:r>
      <w:proofErr w:type="spellEnd"/>
      <w:r w:rsidRPr="00E43FBA">
        <w:rPr>
          <w:vertAlign w:val="superscript"/>
        </w:rPr>
        <w:t>®</w:t>
      </w:r>
      <w:r w:rsidRPr="00E43FBA">
        <w:rPr>
          <w:rFonts w:eastAsia="Batang"/>
          <w:color w:val="000000"/>
        </w:rPr>
        <w:t xml:space="preserve"> и трастузумаб можно вводить в любой последовательности.</w:t>
      </w:r>
    </w:p>
    <w:p w14:paraId="115618C4" w14:textId="58C07848" w:rsidR="00A430EE" w:rsidRDefault="00A430EE" w:rsidP="00C957E2">
      <w:pPr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При </w:t>
      </w:r>
      <w:r w:rsidR="00235B5B">
        <w:rPr>
          <w:rFonts w:eastAsia="Batang"/>
          <w:color w:val="000000"/>
        </w:rPr>
        <w:t xml:space="preserve">применении в комбинации </w:t>
      </w:r>
      <w:r>
        <w:rPr>
          <w:rFonts w:eastAsia="Batang"/>
          <w:color w:val="000000"/>
        </w:rPr>
        <w:t xml:space="preserve">с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DC6F63">
        <w:rPr>
          <w:rFonts w:eastAsia="Batang"/>
          <w:color w:val="000000"/>
        </w:rPr>
        <w:t xml:space="preserve"> </w:t>
      </w:r>
      <w:r>
        <w:rPr>
          <w:rFonts w:eastAsia="Batang"/>
          <w:color w:val="000000"/>
        </w:rPr>
        <w:t>рекоменду</w:t>
      </w:r>
      <w:r w:rsidR="0022026B">
        <w:rPr>
          <w:rFonts w:eastAsia="Batang"/>
          <w:color w:val="000000"/>
        </w:rPr>
        <w:t>ю</w:t>
      </w:r>
      <w:r>
        <w:rPr>
          <w:rFonts w:eastAsia="Batang"/>
          <w:color w:val="000000"/>
        </w:rPr>
        <w:t xml:space="preserve">тся </w:t>
      </w:r>
      <w:r w:rsidR="0022026B">
        <w:rPr>
          <w:rFonts w:eastAsia="Batang"/>
          <w:color w:val="000000"/>
        </w:rPr>
        <w:t xml:space="preserve">следующие </w:t>
      </w:r>
      <w:r>
        <w:rPr>
          <w:rFonts w:eastAsia="Batang"/>
          <w:color w:val="000000"/>
        </w:rPr>
        <w:t>режим</w:t>
      </w:r>
      <w:r w:rsidR="0022026B">
        <w:rPr>
          <w:rFonts w:eastAsia="Batang"/>
          <w:color w:val="000000"/>
        </w:rPr>
        <w:t>ы</w:t>
      </w:r>
      <w:r>
        <w:rPr>
          <w:rFonts w:eastAsia="Batang"/>
          <w:color w:val="000000"/>
        </w:rPr>
        <w:t xml:space="preserve"> дозирования</w:t>
      </w:r>
      <w:r w:rsidR="00FA4538">
        <w:rPr>
          <w:rFonts w:eastAsia="Batang"/>
          <w:color w:val="000000"/>
        </w:rPr>
        <w:t xml:space="preserve"> трастузумаба</w:t>
      </w:r>
      <w:r>
        <w:rPr>
          <w:rFonts w:eastAsia="Batang"/>
          <w:color w:val="000000"/>
        </w:rPr>
        <w:t>:</w:t>
      </w:r>
    </w:p>
    <w:p w14:paraId="399644E3" w14:textId="16EE9C4A" w:rsidR="00D30609" w:rsidRPr="007B394E" w:rsidRDefault="00752AF9">
      <w:pPr>
        <w:pStyle w:val="ListParagraph"/>
        <w:numPr>
          <w:ilvl w:val="0"/>
          <w:numId w:val="59"/>
        </w:numPr>
        <w:spacing w:line="360" w:lineRule="auto"/>
        <w:ind w:left="360"/>
        <w:rPr>
          <w:rFonts w:eastAsia="Batang"/>
        </w:rPr>
      </w:pPr>
      <w:r w:rsidRPr="007B394E">
        <w:rPr>
          <w:rFonts w:eastAsia="Batang"/>
        </w:rPr>
        <w:t xml:space="preserve">в виде внутривенной капельной инфузии: </w:t>
      </w:r>
      <w:r w:rsidRPr="009753E4">
        <w:rPr>
          <w:rFonts w:eastAsia="Batang"/>
          <w:i/>
        </w:rPr>
        <w:t>нагрузочная доза</w:t>
      </w:r>
      <w:r w:rsidRPr="007B394E">
        <w:rPr>
          <w:rFonts w:eastAsia="Batang"/>
        </w:rPr>
        <w:t xml:space="preserve"> - 8 мг/кг массы тела</w:t>
      </w:r>
      <w:r w:rsidR="00842E95" w:rsidRPr="00842E95">
        <w:rPr>
          <w:rFonts w:eastAsia="Batang"/>
        </w:rPr>
        <w:t xml:space="preserve"> </w:t>
      </w:r>
      <w:r w:rsidR="00842E95" w:rsidRPr="007B394E">
        <w:rPr>
          <w:rFonts w:eastAsia="Batang"/>
        </w:rPr>
        <w:t>в течение 90 минут</w:t>
      </w:r>
      <w:r w:rsidR="00AC051D" w:rsidRPr="009753E4">
        <w:rPr>
          <w:rFonts w:eastAsia="Batang"/>
        </w:rPr>
        <w:t>;</w:t>
      </w:r>
      <w:r w:rsidRPr="007B394E">
        <w:rPr>
          <w:rFonts w:eastAsia="Batang"/>
        </w:rPr>
        <w:t xml:space="preserve"> затем </w:t>
      </w:r>
      <w:r w:rsidR="00EF071F">
        <w:rPr>
          <w:rFonts w:eastAsia="Batang"/>
          <w:color w:val="000000"/>
        </w:rPr>
        <w:t>ч</w:t>
      </w:r>
      <w:r w:rsidR="00EF071F" w:rsidRPr="007A66BD">
        <w:rPr>
          <w:rFonts w:eastAsia="Batang"/>
          <w:color w:val="000000"/>
        </w:rPr>
        <w:t xml:space="preserve">ерез 3 недели </w:t>
      </w:r>
      <w:r w:rsidR="00EF071F">
        <w:rPr>
          <w:rFonts w:eastAsia="Batang"/>
          <w:color w:val="000000"/>
        </w:rPr>
        <w:t xml:space="preserve">и </w:t>
      </w:r>
      <w:r w:rsidR="00EF071F" w:rsidRPr="007A66BD">
        <w:rPr>
          <w:rFonts w:eastAsia="Batang"/>
          <w:color w:val="000000"/>
        </w:rPr>
        <w:t xml:space="preserve">каждые </w:t>
      </w:r>
      <w:r w:rsidR="00A75234">
        <w:rPr>
          <w:rFonts w:eastAsia="Batang"/>
          <w:color w:val="000000"/>
        </w:rPr>
        <w:t xml:space="preserve">последующие </w:t>
      </w:r>
      <w:r w:rsidR="00EF071F" w:rsidRPr="007A66BD">
        <w:rPr>
          <w:rFonts w:eastAsia="Batang"/>
          <w:color w:val="000000"/>
        </w:rPr>
        <w:t>3 недели</w:t>
      </w:r>
      <w:r w:rsidR="00AC051D" w:rsidRPr="009753E4">
        <w:rPr>
          <w:rFonts w:eastAsia="Batang"/>
          <w:color w:val="000000"/>
        </w:rPr>
        <w:t xml:space="preserve"> </w:t>
      </w:r>
      <w:r w:rsidR="00AC051D">
        <w:rPr>
          <w:rFonts w:eastAsia="Batang"/>
          <w:color w:val="000000"/>
        </w:rPr>
        <w:t>вводится</w:t>
      </w:r>
      <w:r w:rsidR="00EF071F" w:rsidRPr="00EF071F">
        <w:rPr>
          <w:rFonts w:eastAsia="Batang"/>
          <w:i/>
        </w:rPr>
        <w:t xml:space="preserve"> </w:t>
      </w:r>
      <w:r w:rsidR="00E357D8" w:rsidRPr="009753E4">
        <w:rPr>
          <w:rFonts w:eastAsia="Batang"/>
          <w:i/>
        </w:rPr>
        <w:t>поддерживающая доза</w:t>
      </w:r>
      <w:r w:rsidR="00E357D8" w:rsidRPr="007B394E">
        <w:rPr>
          <w:rFonts w:eastAsia="Batang"/>
        </w:rPr>
        <w:t xml:space="preserve"> </w:t>
      </w:r>
      <w:r w:rsidRPr="007B394E">
        <w:rPr>
          <w:rFonts w:eastAsia="Batang"/>
        </w:rPr>
        <w:t>- 6 мг/кг массы тела</w:t>
      </w:r>
      <w:r w:rsidR="00842E95" w:rsidRPr="00842E95">
        <w:rPr>
          <w:rFonts w:eastAsia="Batang"/>
        </w:rPr>
        <w:t xml:space="preserve"> </w:t>
      </w:r>
      <w:r w:rsidR="00842E95" w:rsidRPr="007B394E">
        <w:rPr>
          <w:rFonts w:eastAsia="Batang"/>
        </w:rPr>
        <w:t>в течение 30-90 минут</w:t>
      </w:r>
      <w:r w:rsidR="00E357D8" w:rsidRPr="007B394E">
        <w:rPr>
          <w:rFonts w:eastAsia="Batang"/>
        </w:rPr>
        <w:t>.</w:t>
      </w:r>
    </w:p>
    <w:p w14:paraId="2C6545D8" w14:textId="211C957F" w:rsidR="00FA4538" w:rsidRPr="00A573EB" w:rsidRDefault="001579A1" w:rsidP="00C957E2">
      <w:pPr>
        <w:spacing w:line="360" w:lineRule="auto"/>
        <w:rPr>
          <w:rFonts w:eastAsia="Batang"/>
          <w:color w:val="000000"/>
        </w:rPr>
      </w:pPr>
      <w:r w:rsidRPr="00A573EB">
        <w:rPr>
          <w:rFonts w:eastAsia="Batang"/>
          <w:color w:val="000000"/>
        </w:rPr>
        <w:t>ИЛИ</w:t>
      </w:r>
    </w:p>
    <w:p w14:paraId="06C59599" w14:textId="2CE6B787" w:rsidR="00526CDE" w:rsidRPr="007B394E" w:rsidRDefault="009840CD" w:rsidP="007B394E">
      <w:pPr>
        <w:pStyle w:val="ListParagraph"/>
        <w:numPr>
          <w:ilvl w:val="0"/>
          <w:numId w:val="59"/>
        </w:numPr>
        <w:spacing w:line="360" w:lineRule="auto"/>
        <w:ind w:left="360"/>
        <w:rPr>
          <w:rFonts w:eastAsia="Batang"/>
        </w:rPr>
      </w:pPr>
      <w:r>
        <w:rPr>
          <w:rFonts w:eastAsia="Batang"/>
        </w:rPr>
        <w:t>п</w:t>
      </w:r>
      <w:r w:rsidR="0091656B" w:rsidRPr="007B394E">
        <w:rPr>
          <w:rFonts w:eastAsia="Batang"/>
        </w:rPr>
        <w:t>одкожно</w:t>
      </w:r>
      <w:r w:rsidR="00D306E7">
        <w:rPr>
          <w:rFonts w:eastAsia="Batang"/>
        </w:rPr>
        <w:t xml:space="preserve"> (п/к)</w:t>
      </w:r>
      <w:r w:rsidR="0091656B" w:rsidRPr="007B394E">
        <w:rPr>
          <w:rFonts w:eastAsia="Batang"/>
        </w:rPr>
        <w:t xml:space="preserve">: </w:t>
      </w:r>
      <w:r w:rsidR="00C47FFE" w:rsidRPr="007B394E">
        <w:rPr>
          <w:rFonts w:eastAsia="Batang"/>
        </w:rPr>
        <w:t>фиксированн</w:t>
      </w:r>
      <w:r w:rsidR="0091656B" w:rsidRPr="007B394E">
        <w:rPr>
          <w:rFonts w:eastAsia="Batang"/>
        </w:rPr>
        <w:t>ая</w:t>
      </w:r>
      <w:r w:rsidR="00C47FFE" w:rsidRPr="007B394E">
        <w:rPr>
          <w:rFonts w:eastAsia="Batang"/>
        </w:rPr>
        <w:t xml:space="preserve"> доз</w:t>
      </w:r>
      <w:r w:rsidR="0091656B" w:rsidRPr="007B394E">
        <w:rPr>
          <w:rFonts w:eastAsia="Batang"/>
        </w:rPr>
        <w:t xml:space="preserve">а </w:t>
      </w:r>
      <w:r w:rsidR="00BE4B00" w:rsidRPr="007B394E">
        <w:rPr>
          <w:rFonts w:eastAsia="Batang"/>
        </w:rPr>
        <w:t>600 мг</w:t>
      </w:r>
      <w:r w:rsidR="00C47FFE" w:rsidRPr="007B394E">
        <w:rPr>
          <w:rFonts w:eastAsia="Batang"/>
        </w:rPr>
        <w:t xml:space="preserve"> каждые 3 недели </w:t>
      </w:r>
      <w:r w:rsidR="00BE4B00" w:rsidRPr="007B394E">
        <w:rPr>
          <w:rFonts w:eastAsia="Batang"/>
        </w:rPr>
        <w:t>независимо</w:t>
      </w:r>
      <w:r w:rsidR="00C47FFE" w:rsidRPr="007B394E">
        <w:rPr>
          <w:rFonts w:eastAsia="Batang"/>
        </w:rPr>
        <w:t xml:space="preserve"> от массы тела</w:t>
      </w:r>
      <w:r w:rsidR="00A75234">
        <w:rPr>
          <w:rFonts w:eastAsia="Batang"/>
        </w:rPr>
        <w:t xml:space="preserve"> пациента</w:t>
      </w:r>
      <w:r w:rsidR="00A573EB">
        <w:rPr>
          <w:rFonts w:eastAsia="Batang"/>
        </w:rPr>
        <w:t>; н</w:t>
      </w:r>
      <w:r w:rsidR="00526CDE" w:rsidRPr="007B394E">
        <w:rPr>
          <w:rFonts w:eastAsia="Batang"/>
        </w:rPr>
        <w:t xml:space="preserve">агрузочная доза не требуется. </w:t>
      </w:r>
    </w:p>
    <w:p w14:paraId="70AB6D42" w14:textId="3E78E992" w:rsidR="000E5DB4" w:rsidRPr="002A5CD0" w:rsidRDefault="000E5DB4" w:rsidP="000E5DB4">
      <w:pPr>
        <w:spacing w:line="360" w:lineRule="auto"/>
        <w:rPr>
          <w:rFonts w:eastAsia="Batang"/>
          <w:i/>
          <w:color w:val="000000"/>
        </w:rPr>
      </w:pPr>
      <w:r>
        <w:rPr>
          <w:rFonts w:eastAsia="Batang"/>
          <w:i/>
          <w:color w:val="000000"/>
          <w:u w:val="single"/>
        </w:rPr>
        <w:t xml:space="preserve">Препараты группы </w:t>
      </w:r>
      <w:proofErr w:type="spellStart"/>
      <w:r>
        <w:rPr>
          <w:rFonts w:eastAsia="Batang"/>
          <w:i/>
          <w:color w:val="000000"/>
          <w:u w:val="single"/>
        </w:rPr>
        <w:t>таксанов</w:t>
      </w:r>
      <w:proofErr w:type="spellEnd"/>
    </w:p>
    <w:p w14:paraId="7B8B7861" w14:textId="7D25C8C8" w:rsidR="000E5DB4" w:rsidRPr="00A84473" w:rsidRDefault="000E5DB4" w:rsidP="000E5DB4">
      <w:pPr>
        <w:spacing w:line="360" w:lineRule="auto"/>
        <w:rPr>
          <w:rFonts w:eastAsia="Batang"/>
          <w:color w:val="000000"/>
        </w:rPr>
      </w:pPr>
      <w:r w:rsidRPr="00A84473">
        <w:rPr>
          <w:rFonts w:eastAsia="Batang"/>
          <w:color w:val="000000"/>
        </w:rPr>
        <w:t xml:space="preserve">У пациентов, получающих </w:t>
      </w:r>
      <w:proofErr w:type="spellStart"/>
      <w:r w:rsidR="005B6D4A" w:rsidRPr="00A84473">
        <w:rPr>
          <w:rFonts w:eastAsia="Batang"/>
          <w:color w:val="000000"/>
        </w:rPr>
        <w:t>таксан</w:t>
      </w:r>
      <w:r w:rsidR="003918AE" w:rsidRPr="00A84473">
        <w:rPr>
          <w:rFonts w:eastAsia="Batang"/>
          <w:color w:val="000000"/>
        </w:rPr>
        <w:t>ы</w:t>
      </w:r>
      <w:proofErr w:type="spellEnd"/>
      <w:r w:rsidR="00C6157B" w:rsidRPr="00A84473">
        <w:rPr>
          <w:rFonts w:eastAsia="Batang"/>
          <w:color w:val="000000"/>
        </w:rPr>
        <w:t xml:space="preserve">, препарат </w:t>
      </w:r>
      <w:proofErr w:type="spellStart"/>
      <w:r w:rsidR="00C6157B" w:rsidRPr="00A84473">
        <w:rPr>
          <w:rFonts w:eastAsia="Batang"/>
          <w:color w:val="000000"/>
        </w:rPr>
        <w:t>Перьета</w:t>
      </w:r>
      <w:proofErr w:type="spellEnd"/>
      <w:r w:rsidR="00C6157B" w:rsidRPr="00A84473">
        <w:rPr>
          <w:rFonts w:eastAsia="Batang"/>
          <w:color w:val="000000"/>
          <w:vertAlign w:val="superscript"/>
        </w:rPr>
        <w:t>®</w:t>
      </w:r>
      <w:r w:rsidR="00C6157B" w:rsidRPr="00A84473">
        <w:rPr>
          <w:rFonts w:eastAsia="Batang"/>
          <w:color w:val="000000"/>
        </w:rPr>
        <w:t xml:space="preserve"> и трастузумаб следует вводить до введения </w:t>
      </w:r>
      <w:proofErr w:type="spellStart"/>
      <w:r w:rsidR="00C6157B" w:rsidRPr="00A84473">
        <w:rPr>
          <w:rFonts w:eastAsia="Batang"/>
          <w:color w:val="000000"/>
        </w:rPr>
        <w:t>таксана</w:t>
      </w:r>
      <w:proofErr w:type="spellEnd"/>
      <w:r w:rsidRPr="00A84473">
        <w:rPr>
          <w:rFonts w:eastAsia="Batang"/>
          <w:color w:val="000000"/>
        </w:rPr>
        <w:t xml:space="preserve">. </w:t>
      </w:r>
    </w:p>
    <w:p w14:paraId="7ED70237" w14:textId="09BE899B" w:rsidR="00E57457" w:rsidRDefault="00A430EE" w:rsidP="00C957E2">
      <w:pPr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При </w:t>
      </w:r>
      <w:r w:rsidR="00235B5B">
        <w:rPr>
          <w:rFonts w:eastAsia="Batang"/>
          <w:color w:val="000000"/>
        </w:rPr>
        <w:t xml:space="preserve">применении в комбинации </w:t>
      </w:r>
      <w:r>
        <w:rPr>
          <w:rFonts w:eastAsia="Batang"/>
          <w:color w:val="000000"/>
        </w:rPr>
        <w:t xml:space="preserve">с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Batang"/>
          <w:color w:val="000000"/>
        </w:rPr>
        <w:t xml:space="preserve"> р</w:t>
      </w:r>
      <w:r w:rsidR="00D30609" w:rsidRPr="007A66BD">
        <w:rPr>
          <w:rFonts w:eastAsia="Batang"/>
          <w:color w:val="000000"/>
        </w:rPr>
        <w:t>еко</w:t>
      </w:r>
      <w:r w:rsidR="00AE20D3" w:rsidRPr="007A66BD">
        <w:rPr>
          <w:rFonts w:eastAsia="Batang"/>
          <w:color w:val="000000"/>
        </w:rPr>
        <w:t xml:space="preserve">мендуемая начальная доза </w:t>
      </w:r>
      <w:proofErr w:type="spellStart"/>
      <w:r w:rsidR="00AE20D3" w:rsidRPr="007A66BD">
        <w:rPr>
          <w:rFonts w:eastAsia="Batang"/>
          <w:color w:val="000000"/>
        </w:rPr>
        <w:t>доцетаксела</w:t>
      </w:r>
      <w:proofErr w:type="spellEnd"/>
      <w:r w:rsidR="00AE20D3" w:rsidRPr="007A66BD">
        <w:rPr>
          <w:rFonts w:eastAsia="Batang"/>
          <w:color w:val="000000"/>
        </w:rPr>
        <w:t xml:space="preserve"> составляет 75 мг/м</w:t>
      </w:r>
      <w:r w:rsidR="00AE20D3" w:rsidRPr="007A66BD">
        <w:rPr>
          <w:rFonts w:eastAsia="Batang"/>
          <w:color w:val="000000"/>
          <w:vertAlign w:val="superscript"/>
        </w:rPr>
        <w:t>2</w:t>
      </w:r>
      <w:r w:rsidR="00DF285A">
        <w:rPr>
          <w:rFonts w:eastAsia="Batang"/>
          <w:color w:val="000000"/>
        </w:rPr>
        <w:t xml:space="preserve"> в виде внутривенной инфузии</w:t>
      </w:r>
      <w:r w:rsidR="00AE20D3" w:rsidRPr="007A66BD">
        <w:rPr>
          <w:rFonts w:eastAsia="Batang"/>
          <w:color w:val="000000"/>
        </w:rPr>
        <w:t>, после чего препарат</w:t>
      </w:r>
      <w:r w:rsidR="005C4082">
        <w:rPr>
          <w:rFonts w:eastAsia="Batang"/>
          <w:color w:val="000000"/>
        </w:rPr>
        <w:t xml:space="preserve"> следует</w:t>
      </w:r>
      <w:r w:rsidR="00AE20D3" w:rsidRPr="007A66BD">
        <w:rPr>
          <w:rFonts w:eastAsia="Batang"/>
          <w:color w:val="000000"/>
        </w:rPr>
        <w:t xml:space="preserve"> вводит</w:t>
      </w:r>
      <w:r w:rsidR="005C4082">
        <w:rPr>
          <w:rFonts w:eastAsia="Batang"/>
          <w:color w:val="000000"/>
        </w:rPr>
        <w:t>ь</w:t>
      </w:r>
      <w:r w:rsidR="00AE20D3" w:rsidRPr="007A66BD">
        <w:rPr>
          <w:rFonts w:eastAsia="Batang"/>
          <w:color w:val="000000"/>
        </w:rPr>
        <w:t xml:space="preserve"> каждые 3 недели. При хорошей переносимости </w:t>
      </w:r>
      <w:r w:rsidR="005C4082">
        <w:rPr>
          <w:rFonts w:eastAsia="Batang"/>
          <w:color w:val="000000"/>
        </w:rPr>
        <w:t xml:space="preserve">в первом цикле </w:t>
      </w:r>
      <w:r w:rsidR="00AE20D3" w:rsidRPr="007A66BD">
        <w:rPr>
          <w:rFonts w:eastAsia="Batang"/>
          <w:color w:val="000000"/>
        </w:rPr>
        <w:t xml:space="preserve">доза </w:t>
      </w:r>
      <w:proofErr w:type="spellStart"/>
      <w:r w:rsidR="00AE20D3" w:rsidRPr="007A66BD">
        <w:rPr>
          <w:rFonts w:eastAsia="Batang"/>
          <w:color w:val="000000"/>
        </w:rPr>
        <w:t>доцетаксела</w:t>
      </w:r>
      <w:proofErr w:type="spellEnd"/>
      <w:r w:rsidR="00AE20D3" w:rsidRPr="007A66BD">
        <w:rPr>
          <w:rFonts w:eastAsia="Batang"/>
          <w:color w:val="000000"/>
        </w:rPr>
        <w:t xml:space="preserve"> </w:t>
      </w:r>
      <w:r w:rsidR="00C87D78">
        <w:rPr>
          <w:rFonts w:eastAsia="Batang"/>
          <w:color w:val="000000"/>
        </w:rPr>
        <w:t>в</w:t>
      </w:r>
      <w:r w:rsidR="00C87D78" w:rsidRPr="007A66BD">
        <w:rPr>
          <w:rFonts w:eastAsia="Batang"/>
          <w:color w:val="000000"/>
        </w:rPr>
        <w:t xml:space="preserve"> последующих циклах </w:t>
      </w:r>
      <w:r w:rsidR="00AE20D3" w:rsidRPr="007A66BD">
        <w:rPr>
          <w:rFonts w:eastAsia="Batang"/>
          <w:color w:val="000000"/>
        </w:rPr>
        <w:t>может быть уве</w:t>
      </w:r>
      <w:r w:rsidR="00201BC7">
        <w:rPr>
          <w:rFonts w:eastAsia="Batang"/>
          <w:color w:val="000000"/>
        </w:rPr>
        <w:t>личена до 100 мг/м</w:t>
      </w:r>
      <w:r w:rsidR="00201BC7" w:rsidRPr="00201BC7">
        <w:rPr>
          <w:rFonts w:eastAsia="Batang"/>
          <w:color w:val="000000"/>
          <w:vertAlign w:val="superscript"/>
        </w:rPr>
        <w:t>2</w:t>
      </w:r>
      <w:r w:rsidR="00FE79FA">
        <w:rPr>
          <w:rFonts w:eastAsia="Batang"/>
          <w:color w:val="000000"/>
        </w:rPr>
        <w:t xml:space="preserve">, если пациент одновременно не получает </w:t>
      </w:r>
      <w:proofErr w:type="spellStart"/>
      <w:r w:rsidR="00FE79FA">
        <w:rPr>
          <w:rFonts w:eastAsia="Batang"/>
          <w:color w:val="000000"/>
        </w:rPr>
        <w:t>карбоплатин</w:t>
      </w:r>
      <w:proofErr w:type="spellEnd"/>
      <w:r w:rsidR="00FE79FA">
        <w:rPr>
          <w:rFonts w:eastAsia="Batang"/>
          <w:color w:val="000000"/>
        </w:rPr>
        <w:t>.</w:t>
      </w:r>
    </w:p>
    <w:p w14:paraId="16BA424F" w14:textId="4EA971F4" w:rsidR="004C3F9D" w:rsidRPr="009633AC" w:rsidRDefault="004C3F9D" w:rsidP="00C957E2">
      <w:pPr>
        <w:spacing w:line="360" w:lineRule="auto"/>
        <w:rPr>
          <w:rFonts w:eastAsia="Batang"/>
          <w:i/>
          <w:color w:val="000000"/>
          <w:u w:val="single"/>
        </w:rPr>
      </w:pPr>
      <w:proofErr w:type="spellStart"/>
      <w:r w:rsidRPr="009633AC">
        <w:rPr>
          <w:rFonts w:eastAsia="Batang"/>
          <w:i/>
          <w:color w:val="000000"/>
          <w:u w:val="single"/>
        </w:rPr>
        <w:lastRenderedPageBreak/>
        <w:t>Антрациклины</w:t>
      </w:r>
      <w:proofErr w:type="spellEnd"/>
    </w:p>
    <w:p w14:paraId="1141675A" w14:textId="0304AC16" w:rsidR="00EB0F41" w:rsidRDefault="00EB0F41" w:rsidP="00C957E2">
      <w:pPr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У пациентов, получающих лечение </w:t>
      </w:r>
      <w:r w:rsidR="00634081">
        <w:rPr>
          <w:rFonts w:eastAsia="Batang"/>
          <w:color w:val="000000"/>
        </w:rPr>
        <w:t xml:space="preserve">по </w:t>
      </w:r>
      <w:r w:rsidR="002519CB">
        <w:rPr>
          <w:rFonts w:eastAsia="Batang"/>
          <w:color w:val="000000"/>
        </w:rPr>
        <w:t xml:space="preserve">схеме на основе </w:t>
      </w:r>
      <w:proofErr w:type="spellStart"/>
      <w:r w:rsidR="00690D4F">
        <w:rPr>
          <w:rFonts w:eastAsia="Batang"/>
          <w:color w:val="000000"/>
        </w:rPr>
        <w:t>антрациклин</w:t>
      </w:r>
      <w:r w:rsidR="002519CB">
        <w:rPr>
          <w:rFonts w:eastAsia="Batang"/>
          <w:color w:val="000000"/>
        </w:rPr>
        <w:t>ов</w:t>
      </w:r>
      <w:proofErr w:type="spellEnd"/>
      <w:r>
        <w:rPr>
          <w:rFonts w:eastAsia="Batang"/>
          <w:color w:val="000000"/>
        </w:rPr>
        <w:t xml:space="preserve">, препарат </w:t>
      </w:r>
      <w:proofErr w:type="spellStart"/>
      <w:r>
        <w:rPr>
          <w:rFonts w:eastAsia="Batang"/>
          <w:color w:val="000000"/>
        </w:rPr>
        <w:t>Перьета</w:t>
      </w:r>
      <w:proofErr w:type="spellEnd"/>
      <w:r w:rsidRPr="006E2758">
        <w:rPr>
          <w:vertAlign w:val="superscript"/>
        </w:rPr>
        <w:t>®</w:t>
      </w:r>
      <w:r>
        <w:rPr>
          <w:rFonts w:eastAsia="Batang"/>
          <w:color w:val="000000"/>
        </w:rPr>
        <w:t xml:space="preserve"> и трастузумаб следует вводить после завершения </w:t>
      </w:r>
      <w:r w:rsidR="00931DBE">
        <w:rPr>
          <w:rFonts w:eastAsia="Batang"/>
          <w:color w:val="000000"/>
        </w:rPr>
        <w:t xml:space="preserve">полного </w:t>
      </w:r>
      <w:r w:rsidR="001F5E35">
        <w:rPr>
          <w:rFonts w:eastAsia="Batang"/>
          <w:color w:val="000000"/>
        </w:rPr>
        <w:t>курса</w:t>
      </w:r>
      <w:r>
        <w:rPr>
          <w:rFonts w:eastAsia="Batang"/>
          <w:color w:val="000000"/>
        </w:rPr>
        <w:t xml:space="preserve"> </w:t>
      </w:r>
      <w:proofErr w:type="spellStart"/>
      <w:r w:rsidR="00931DBE">
        <w:rPr>
          <w:rFonts w:eastAsia="Batang"/>
          <w:color w:val="000000"/>
        </w:rPr>
        <w:t>антрациклинов</w:t>
      </w:r>
      <w:proofErr w:type="spellEnd"/>
      <w:r>
        <w:rPr>
          <w:rFonts w:eastAsia="Batang"/>
          <w:color w:val="000000"/>
        </w:rPr>
        <w:t>.</w:t>
      </w:r>
    </w:p>
    <w:p w14:paraId="2728CD4F" w14:textId="599BDDAB" w:rsidR="00A52CAE" w:rsidRPr="0000627D" w:rsidRDefault="00A52CAE" w:rsidP="00CF3D72">
      <w:pPr>
        <w:spacing w:line="360" w:lineRule="auto"/>
        <w:rPr>
          <w:rFonts w:eastAsia="Batang"/>
          <w:b/>
          <w:i/>
        </w:rPr>
      </w:pPr>
      <w:r>
        <w:rPr>
          <w:rFonts w:eastAsia="Batang"/>
          <w:b/>
          <w:i/>
        </w:rPr>
        <w:t xml:space="preserve">Метастатический </w:t>
      </w:r>
      <w:r w:rsidR="00F96929">
        <w:rPr>
          <w:rFonts w:eastAsia="Batang"/>
          <w:b/>
          <w:i/>
        </w:rPr>
        <w:t>РМЖ</w:t>
      </w:r>
    </w:p>
    <w:p w14:paraId="14D9D9E3" w14:textId="150DE915" w:rsidR="00CF3D72" w:rsidRPr="000F5475" w:rsidRDefault="00A52CAE" w:rsidP="000F5475">
      <w:pPr>
        <w:pStyle w:val="Default"/>
        <w:spacing w:line="360" w:lineRule="auto"/>
        <w:rPr>
          <w:rFonts w:ascii="Arial" w:hAnsi="Arial" w:cs="Arial"/>
          <w:lang w:val="ru-RU" w:eastAsia="en-US"/>
        </w:rPr>
      </w:pPr>
      <w:r w:rsidRPr="000F5475">
        <w:rPr>
          <w:rFonts w:eastAsia="Batang"/>
          <w:lang w:val="ru-RU"/>
        </w:rPr>
        <w:t xml:space="preserve">При появлении признаков прогрессирования заболевания или </w:t>
      </w:r>
      <w:r w:rsidR="002554EF">
        <w:rPr>
          <w:rFonts w:eastAsia="Batang"/>
          <w:lang w:val="ru-RU"/>
        </w:rPr>
        <w:t xml:space="preserve">признаков </w:t>
      </w:r>
      <w:r w:rsidRPr="000F5475">
        <w:rPr>
          <w:rFonts w:eastAsia="Batang"/>
          <w:lang w:val="ru-RU"/>
        </w:rPr>
        <w:t xml:space="preserve">неприемлемой токсичности лечение препаратом </w:t>
      </w:r>
      <w:proofErr w:type="spellStart"/>
      <w:r w:rsidRPr="000F5475">
        <w:rPr>
          <w:lang w:val="ru-RU"/>
        </w:rPr>
        <w:t>Перьета</w:t>
      </w:r>
      <w:proofErr w:type="spellEnd"/>
      <w:r w:rsidRPr="000F5475">
        <w:rPr>
          <w:vertAlign w:val="superscript"/>
          <w:lang w:val="ru-RU"/>
        </w:rPr>
        <w:t>®</w:t>
      </w:r>
      <w:r w:rsidRPr="000F5475">
        <w:rPr>
          <w:rFonts w:eastAsia="Batang"/>
          <w:lang w:val="ru-RU"/>
        </w:rPr>
        <w:t xml:space="preserve"> </w:t>
      </w:r>
      <w:r w:rsidR="00431AF2" w:rsidRPr="000F5475">
        <w:rPr>
          <w:rFonts w:eastAsia="Batang"/>
          <w:lang w:val="ru-RU"/>
        </w:rPr>
        <w:t xml:space="preserve">в комбинации с </w:t>
      </w:r>
      <w:proofErr w:type="spellStart"/>
      <w:r w:rsidR="00431AF2" w:rsidRPr="000F5475">
        <w:rPr>
          <w:rFonts w:eastAsia="Batang"/>
          <w:lang w:val="ru-RU"/>
        </w:rPr>
        <w:t>трастузумабом</w:t>
      </w:r>
      <w:proofErr w:type="spellEnd"/>
      <w:r w:rsidR="00431AF2" w:rsidRPr="000F5475">
        <w:rPr>
          <w:rFonts w:eastAsia="Batang"/>
          <w:lang w:val="ru-RU"/>
        </w:rPr>
        <w:t xml:space="preserve"> и </w:t>
      </w:r>
      <w:proofErr w:type="spellStart"/>
      <w:r w:rsidR="00431AF2" w:rsidRPr="000F5475">
        <w:rPr>
          <w:rFonts w:eastAsia="Batang"/>
          <w:lang w:val="ru-RU"/>
        </w:rPr>
        <w:t>доцетакселом</w:t>
      </w:r>
      <w:proofErr w:type="spellEnd"/>
      <w:r w:rsidR="00431AF2" w:rsidRPr="000F5475">
        <w:rPr>
          <w:rFonts w:eastAsia="Batang"/>
          <w:lang w:val="ru-RU"/>
        </w:rPr>
        <w:t xml:space="preserve"> </w:t>
      </w:r>
      <w:r w:rsidRPr="000F5475">
        <w:rPr>
          <w:rFonts w:eastAsia="Batang"/>
          <w:lang w:val="ru-RU"/>
        </w:rPr>
        <w:t>следует прекратить.</w:t>
      </w:r>
      <w:r w:rsidR="00403EDA" w:rsidRPr="000F5475">
        <w:rPr>
          <w:rFonts w:eastAsia="Batang"/>
          <w:lang w:val="ru-RU"/>
        </w:rPr>
        <w:t xml:space="preserve"> </w:t>
      </w:r>
    </w:p>
    <w:p w14:paraId="2F64D46F" w14:textId="114A193B" w:rsidR="0067504B" w:rsidRDefault="00CF3D72" w:rsidP="000F5475">
      <w:pPr>
        <w:spacing w:line="360" w:lineRule="auto"/>
        <w:rPr>
          <w:rFonts w:ascii="Arial" w:eastAsia="SimSun" w:hAnsi="Arial" w:cs="Arial"/>
          <w:i/>
          <w:iCs/>
          <w:color w:val="000000"/>
          <w:sz w:val="18"/>
          <w:szCs w:val="18"/>
          <w:lang w:eastAsia="en-US"/>
        </w:rPr>
      </w:pPr>
      <w:r w:rsidRPr="000F5475">
        <w:rPr>
          <w:rFonts w:eastAsia="SimSun"/>
          <w:iCs/>
          <w:color w:val="000000"/>
          <w:lang w:eastAsia="en-US"/>
        </w:rPr>
        <w:t xml:space="preserve">В рамках комбинированной терапии изучено применение </w:t>
      </w:r>
      <w:proofErr w:type="spellStart"/>
      <w:r w:rsidRPr="000F5475">
        <w:rPr>
          <w:rFonts w:eastAsia="SimSun"/>
          <w:iCs/>
          <w:color w:val="000000"/>
          <w:lang w:eastAsia="en-US"/>
        </w:rPr>
        <w:t>доцетаксела</w:t>
      </w:r>
      <w:proofErr w:type="spellEnd"/>
      <w:r w:rsidRPr="000F5475">
        <w:rPr>
          <w:rFonts w:eastAsia="SimSun"/>
          <w:iCs/>
          <w:color w:val="000000"/>
          <w:lang w:eastAsia="en-US"/>
        </w:rPr>
        <w:t xml:space="preserve"> в течение, как минимум, первых 6 циклов при отсутствии признаков прогрессирования заболевания или </w:t>
      </w:r>
      <w:r w:rsidR="002554EF">
        <w:rPr>
          <w:rFonts w:eastAsia="SimSun"/>
          <w:iCs/>
          <w:color w:val="000000"/>
          <w:lang w:eastAsia="en-US"/>
        </w:rPr>
        <w:t xml:space="preserve">признаков неприемлемой </w:t>
      </w:r>
      <w:r w:rsidRPr="000F5475">
        <w:rPr>
          <w:rFonts w:eastAsia="SimSun"/>
          <w:iCs/>
          <w:color w:val="000000"/>
          <w:lang w:eastAsia="en-US"/>
        </w:rPr>
        <w:t xml:space="preserve">токсичности. Решение о продолжении применения </w:t>
      </w:r>
      <w:proofErr w:type="spellStart"/>
      <w:r w:rsidRPr="000F5475">
        <w:rPr>
          <w:rFonts w:eastAsia="SimSun"/>
          <w:iCs/>
          <w:color w:val="000000"/>
          <w:lang w:eastAsia="en-US"/>
        </w:rPr>
        <w:t>доцетаксела</w:t>
      </w:r>
      <w:proofErr w:type="spellEnd"/>
      <w:r w:rsidRPr="000F5475">
        <w:rPr>
          <w:rFonts w:eastAsia="SimSun"/>
          <w:iCs/>
          <w:color w:val="000000"/>
          <w:lang w:eastAsia="en-US"/>
        </w:rPr>
        <w:t xml:space="preserve"> свыше 6 циклов принималось лечащим врачом.</w:t>
      </w:r>
      <w:r w:rsidRPr="000F5475">
        <w:rPr>
          <w:rFonts w:ascii="Arial" w:eastAsia="SimSu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</w:p>
    <w:p w14:paraId="329CA262" w14:textId="1AA10C62" w:rsidR="007776BE" w:rsidRPr="0008724C" w:rsidRDefault="00A52CAE" w:rsidP="000F5475">
      <w:pPr>
        <w:spacing w:line="360" w:lineRule="auto"/>
        <w:rPr>
          <w:rFonts w:eastAsia="Batang"/>
          <w:b/>
          <w:color w:val="000000"/>
        </w:rPr>
      </w:pPr>
      <w:r>
        <w:rPr>
          <w:rFonts w:eastAsia="Batang"/>
        </w:rPr>
        <w:t>Л</w:t>
      </w:r>
      <w:r w:rsidRPr="007A66BD">
        <w:rPr>
          <w:rFonts w:eastAsia="Batang"/>
        </w:rPr>
        <w:t>ечение препарат</w:t>
      </w:r>
      <w:r>
        <w:rPr>
          <w:rFonts w:eastAsia="Batang"/>
        </w:rPr>
        <w:t>о</w:t>
      </w:r>
      <w:r w:rsidRPr="007A66BD">
        <w:rPr>
          <w:rFonts w:eastAsia="Batang"/>
        </w:rPr>
        <w:t xml:space="preserve">м </w:t>
      </w:r>
      <w:proofErr w:type="spellStart"/>
      <w:r>
        <w:t>Перьета</w:t>
      </w:r>
      <w:proofErr w:type="spellEnd"/>
      <w:r w:rsidRPr="006E2758">
        <w:rPr>
          <w:vertAlign w:val="superscript"/>
        </w:rPr>
        <w:t>®</w:t>
      </w:r>
      <w:r w:rsidRPr="007A66BD">
        <w:rPr>
          <w:rFonts w:eastAsia="Batang"/>
        </w:rPr>
        <w:t xml:space="preserve"> и </w:t>
      </w:r>
      <w:proofErr w:type="spellStart"/>
      <w:r>
        <w:rPr>
          <w:rFonts w:eastAsia="Batang"/>
        </w:rPr>
        <w:t>трастузумабом</w:t>
      </w:r>
      <w:proofErr w:type="spellEnd"/>
      <w:r w:rsidRPr="007A66BD">
        <w:rPr>
          <w:rFonts w:eastAsia="Batang"/>
        </w:rPr>
        <w:t xml:space="preserve"> можно продолжать </w:t>
      </w:r>
      <w:r w:rsidR="00667111">
        <w:rPr>
          <w:rFonts w:eastAsia="Batang"/>
        </w:rPr>
        <w:t xml:space="preserve">и </w:t>
      </w:r>
      <w:r w:rsidR="007652E8">
        <w:rPr>
          <w:rFonts w:eastAsia="Batang"/>
        </w:rPr>
        <w:t>в случае</w:t>
      </w:r>
      <w:r w:rsidRPr="007A66BD">
        <w:rPr>
          <w:rFonts w:eastAsia="Batang"/>
        </w:rPr>
        <w:t xml:space="preserve"> отмен</w:t>
      </w:r>
      <w:r w:rsidR="007652E8">
        <w:rPr>
          <w:rFonts w:eastAsia="Batang"/>
        </w:rPr>
        <w:t>ы</w:t>
      </w:r>
      <w:r w:rsidRPr="007A66BD">
        <w:rPr>
          <w:rFonts w:eastAsia="Batang"/>
        </w:rPr>
        <w:t xml:space="preserve"> </w:t>
      </w:r>
      <w:proofErr w:type="spellStart"/>
      <w:r w:rsidRPr="007A66BD">
        <w:rPr>
          <w:rFonts w:eastAsia="Batang"/>
        </w:rPr>
        <w:t>доцетаксела</w:t>
      </w:r>
      <w:proofErr w:type="spellEnd"/>
      <w:r w:rsidRPr="007A66BD">
        <w:rPr>
          <w:rFonts w:eastAsia="Batang"/>
        </w:rPr>
        <w:t>.</w:t>
      </w:r>
    </w:p>
    <w:p w14:paraId="1A06BE0D" w14:textId="0F775538" w:rsidR="00AF3271" w:rsidRPr="00B21E5B" w:rsidRDefault="005F2311" w:rsidP="00C957E2">
      <w:pPr>
        <w:spacing w:line="360" w:lineRule="auto"/>
        <w:rPr>
          <w:rFonts w:eastAsia="Batang"/>
          <w:b/>
          <w:i/>
        </w:rPr>
      </w:pPr>
      <w:proofErr w:type="spellStart"/>
      <w:r>
        <w:rPr>
          <w:b/>
          <w:i/>
          <w:color w:val="000000"/>
        </w:rPr>
        <w:t>Неметастатический</w:t>
      </w:r>
      <w:proofErr w:type="spellEnd"/>
      <w:r>
        <w:rPr>
          <w:b/>
          <w:i/>
          <w:color w:val="000000"/>
        </w:rPr>
        <w:t xml:space="preserve"> </w:t>
      </w:r>
      <w:r w:rsidR="00201A57">
        <w:rPr>
          <w:b/>
          <w:i/>
          <w:color w:val="000000"/>
        </w:rPr>
        <w:t>РМЖ</w:t>
      </w:r>
    </w:p>
    <w:p w14:paraId="45FBFC95" w14:textId="74E6B891" w:rsidR="00886F99" w:rsidRPr="002A44E8" w:rsidRDefault="00AF3271" w:rsidP="00886F99">
      <w:pPr>
        <w:spacing w:line="360" w:lineRule="auto"/>
        <w:rPr>
          <w:rStyle w:val="CommentReference"/>
          <w:rFonts w:eastAsia="SimSun"/>
          <w:sz w:val="24"/>
          <w:szCs w:val="24"/>
          <w:lang w:eastAsia="en-US"/>
        </w:rPr>
      </w:pPr>
      <w:r w:rsidRPr="00B21E5B">
        <w:rPr>
          <w:rFonts w:eastAsia="Batang"/>
          <w:i/>
        </w:rPr>
        <w:t xml:space="preserve">В качестве </w:t>
      </w:r>
      <w:proofErr w:type="spellStart"/>
      <w:r w:rsidRPr="006A3CA2">
        <w:rPr>
          <w:rFonts w:eastAsia="Batang"/>
          <w:b/>
          <w:i/>
        </w:rPr>
        <w:t>неоадъювантной</w:t>
      </w:r>
      <w:proofErr w:type="spellEnd"/>
      <w:r w:rsidRPr="006A3CA2">
        <w:rPr>
          <w:rFonts w:eastAsia="Batang"/>
          <w:b/>
          <w:i/>
        </w:rPr>
        <w:t xml:space="preserve"> терапии</w:t>
      </w:r>
      <w:r w:rsidRPr="00B21E5B">
        <w:rPr>
          <w:rFonts w:eastAsia="Batang"/>
          <w:i/>
        </w:rPr>
        <w:t xml:space="preserve"> </w:t>
      </w:r>
      <w:r w:rsidRPr="00B21E5B">
        <w:rPr>
          <w:rFonts w:eastAsia="Batang"/>
        </w:rPr>
        <w:t>(</w:t>
      </w:r>
      <w:r w:rsidR="00B23F6B">
        <w:rPr>
          <w:rFonts w:eastAsia="Batang"/>
        </w:rPr>
        <w:t>предоперационной</w:t>
      </w:r>
      <w:r>
        <w:rPr>
          <w:rFonts w:eastAsia="Batang"/>
        </w:rPr>
        <w:t>) п</w:t>
      </w:r>
      <w:r w:rsidR="007E63B7">
        <w:rPr>
          <w:rFonts w:eastAsia="Batang"/>
        </w:rPr>
        <w:t xml:space="preserve">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t xml:space="preserve"> </w:t>
      </w:r>
      <w:r w:rsidR="00D92769">
        <w:t>рекомендуется вводить в течение 3-6</w:t>
      </w:r>
      <w:r>
        <w:t xml:space="preserve"> циклов в комбинации с</w:t>
      </w:r>
      <w:r w:rsidR="007E63B7">
        <w:rPr>
          <w:rFonts w:eastAsia="Batang"/>
        </w:rPr>
        <w:t xml:space="preserve"> </w:t>
      </w:r>
      <w:proofErr w:type="spellStart"/>
      <w:r w:rsidR="007E63B7">
        <w:rPr>
          <w:rFonts w:eastAsia="Batang"/>
        </w:rPr>
        <w:t>трастузумаб</w:t>
      </w:r>
      <w:r>
        <w:rPr>
          <w:rFonts w:eastAsia="Batang"/>
        </w:rPr>
        <w:t>ом</w:t>
      </w:r>
      <w:proofErr w:type="spellEnd"/>
      <w:r>
        <w:rPr>
          <w:rFonts w:eastAsia="Batang"/>
        </w:rPr>
        <w:t xml:space="preserve"> и химиотерапией</w:t>
      </w:r>
      <w:r w:rsidR="00FE3FD2" w:rsidRPr="00805CD1">
        <w:rPr>
          <w:rFonts w:eastAsia="Batang"/>
        </w:rPr>
        <w:t xml:space="preserve"> </w:t>
      </w:r>
      <w:r w:rsidR="00FE3FD2">
        <w:rPr>
          <w:rFonts w:eastAsia="Batang"/>
        </w:rPr>
        <w:t xml:space="preserve">в </w:t>
      </w:r>
      <w:r w:rsidR="008F1017">
        <w:rPr>
          <w:rFonts w:eastAsia="Batang"/>
        </w:rPr>
        <w:t>соответствии с</w:t>
      </w:r>
      <w:r w:rsidR="00FE3FD2">
        <w:rPr>
          <w:rFonts w:eastAsia="Batang"/>
        </w:rPr>
        <w:t xml:space="preserve"> выбранной схем</w:t>
      </w:r>
      <w:r w:rsidR="00E03D85">
        <w:rPr>
          <w:rFonts w:eastAsia="Batang"/>
        </w:rPr>
        <w:t>ой</w:t>
      </w:r>
      <w:r w:rsidR="00FE3FD2">
        <w:rPr>
          <w:rFonts w:eastAsia="Batang"/>
        </w:rPr>
        <w:t xml:space="preserve"> лечения</w:t>
      </w:r>
      <w:r w:rsidR="00A17D82">
        <w:rPr>
          <w:rFonts w:eastAsia="Batang"/>
        </w:rPr>
        <w:t xml:space="preserve"> (см ниже)</w:t>
      </w:r>
      <w:r w:rsidR="00886F99">
        <w:rPr>
          <w:rFonts w:eastAsia="Batang"/>
        </w:rPr>
        <w:t>.</w:t>
      </w:r>
      <w:r>
        <w:rPr>
          <w:rFonts w:eastAsia="Batang"/>
        </w:rPr>
        <w:t xml:space="preserve"> </w:t>
      </w:r>
    </w:p>
    <w:p w14:paraId="4134887A" w14:textId="60247080" w:rsidR="00EF3FD6" w:rsidRPr="00805CD1" w:rsidRDefault="007C4DF1" w:rsidP="00C957E2">
      <w:pPr>
        <w:spacing w:line="360" w:lineRule="auto"/>
        <w:rPr>
          <w:rFonts w:eastAsia="SimSun"/>
          <w:lang w:eastAsia="en-US"/>
        </w:rPr>
      </w:pPr>
      <w:r>
        <w:rPr>
          <w:rStyle w:val="CommentReference"/>
          <w:rFonts w:eastAsia="SimSun"/>
          <w:sz w:val="24"/>
          <w:szCs w:val="24"/>
          <w:lang w:eastAsia="en-US"/>
        </w:rPr>
        <w:t>П</w:t>
      </w:r>
      <w:r w:rsidR="00886F99" w:rsidRPr="002A44E8">
        <w:rPr>
          <w:rStyle w:val="CommentReference"/>
          <w:rFonts w:eastAsia="SimSun"/>
          <w:sz w:val="24"/>
          <w:szCs w:val="24"/>
          <w:lang w:eastAsia="en-US"/>
        </w:rPr>
        <w:t xml:space="preserve">рименение препарата </w:t>
      </w:r>
      <w:proofErr w:type="spellStart"/>
      <w:r w:rsidR="00886F99" w:rsidRPr="002A44E8">
        <w:rPr>
          <w:rStyle w:val="CommentReference"/>
          <w:rFonts w:eastAsia="SimSun"/>
          <w:sz w:val="24"/>
          <w:szCs w:val="24"/>
          <w:lang w:eastAsia="en-US"/>
        </w:rPr>
        <w:t>Перьета</w:t>
      </w:r>
      <w:proofErr w:type="spellEnd"/>
      <w:r w:rsidR="00886F99" w:rsidRPr="002A44E8">
        <w:rPr>
          <w:vertAlign w:val="superscript"/>
        </w:rPr>
        <w:t>®</w:t>
      </w:r>
      <w:r w:rsidR="00FE047F">
        <w:rPr>
          <w:rStyle w:val="CommentReference"/>
          <w:rFonts w:eastAsia="SimSun"/>
          <w:sz w:val="24"/>
          <w:szCs w:val="24"/>
          <w:lang w:eastAsia="en-US"/>
        </w:rPr>
        <w:t xml:space="preserve">, </w:t>
      </w:r>
      <w:r w:rsidR="00886F99" w:rsidRPr="002A44E8">
        <w:rPr>
          <w:rStyle w:val="CommentReference"/>
          <w:rFonts w:eastAsia="SimSun"/>
          <w:sz w:val="24"/>
          <w:szCs w:val="24"/>
          <w:lang w:eastAsia="en-US"/>
        </w:rPr>
        <w:t>трастузумаб</w:t>
      </w:r>
      <w:r w:rsidR="00FE047F">
        <w:rPr>
          <w:rStyle w:val="CommentReference"/>
          <w:rFonts w:eastAsia="SimSun"/>
          <w:sz w:val="24"/>
          <w:szCs w:val="24"/>
          <w:lang w:eastAsia="en-US"/>
        </w:rPr>
        <w:t>а</w:t>
      </w:r>
      <w:r w:rsidR="00886F99" w:rsidRPr="002A44E8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FE3FD2">
        <w:rPr>
          <w:rStyle w:val="CommentReference"/>
          <w:rFonts w:eastAsia="SimSun"/>
          <w:sz w:val="24"/>
          <w:szCs w:val="24"/>
          <w:lang w:eastAsia="en-US"/>
        </w:rPr>
        <w:t xml:space="preserve">и </w:t>
      </w:r>
      <w:r w:rsidR="009171CE" w:rsidRPr="00D074FE">
        <w:rPr>
          <w:rStyle w:val="CommentReference"/>
          <w:rFonts w:eastAsia="SimSun"/>
          <w:sz w:val="24"/>
          <w:szCs w:val="24"/>
          <w:lang w:eastAsia="en-US"/>
        </w:rPr>
        <w:t>химиотерапи</w:t>
      </w:r>
      <w:r w:rsidR="00003254" w:rsidRPr="00D074FE">
        <w:rPr>
          <w:rStyle w:val="CommentReference"/>
          <w:rFonts w:eastAsia="SimSun"/>
          <w:sz w:val="24"/>
          <w:szCs w:val="24"/>
          <w:lang w:eastAsia="en-US"/>
        </w:rPr>
        <w:t>и</w:t>
      </w:r>
      <w:r w:rsidR="00FE3FD2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B2179A">
        <w:rPr>
          <w:rStyle w:val="CommentReference"/>
          <w:rFonts w:eastAsia="SimSun"/>
          <w:sz w:val="24"/>
          <w:szCs w:val="24"/>
          <w:lang w:eastAsia="en-US"/>
        </w:rPr>
        <w:t xml:space="preserve">в качестве </w:t>
      </w:r>
      <w:proofErr w:type="spellStart"/>
      <w:r w:rsidR="00B2179A" w:rsidRPr="006A3CA2">
        <w:rPr>
          <w:rStyle w:val="CommentReference"/>
          <w:rFonts w:eastAsia="SimSun"/>
          <w:sz w:val="24"/>
          <w:szCs w:val="24"/>
          <w:lang w:eastAsia="en-US"/>
        </w:rPr>
        <w:t>неоадъювантной</w:t>
      </w:r>
      <w:proofErr w:type="spellEnd"/>
      <w:r w:rsidR="00B2179A" w:rsidRPr="006A3CA2">
        <w:rPr>
          <w:rStyle w:val="CommentReference"/>
          <w:rFonts w:eastAsia="SimSun"/>
          <w:sz w:val="24"/>
          <w:szCs w:val="24"/>
          <w:lang w:eastAsia="en-US"/>
        </w:rPr>
        <w:t xml:space="preserve"> терапии</w:t>
      </w:r>
      <w:r w:rsidR="00B2179A" w:rsidRPr="002A44E8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B2179A">
        <w:rPr>
          <w:rStyle w:val="CommentReference"/>
          <w:rFonts w:eastAsia="SimSun"/>
          <w:sz w:val="24"/>
          <w:szCs w:val="24"/>
          <w:lang w:eastAsia="en-US"/>
        </w:rPr>
        <w:t>раннего рака молочной железы</w:t>
      </w:r>
      <w:r w:rsidR="00B2179A" w:rsidRPr="002A44E8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886F99" w:rsidRPr="002A44E8">
        <w:rPr>
          <w:rStyle w:val="CommentReference"/>
          <w:rFonts w:eastAsia="SimSun"/>
          <w:sz w:val="24"/>
          <w:szCs w:val="24"/>
          <w:lang w:eastAsia="en-US"/>
        </w:rPr>
        <w:t xml:space="preserve">изучено в составе следующих </w:t>
      </w:r>
      <w:r w:rsidR="00886F99">
        <w:rPr>
          <w:rStyle w:val="CommentReference"/>
          <w:rFonts w:eastAsia="SimSun"/>
          <w:sz w:val="24"/>
          <w:szCs w:val="24"/>
          <w:lang w:eastAsia="en-US"/>
        </w:rPr>
        <w:t>схем</w:t>
      </w:r>
      <w:r w:rsidR="00FE3FD2">
        <w:rPr>
          <w:rStyle w:val="CommentReference"/>
          <w:rFonts w:eastAsia="SimSun"/>
          <w:sz w:val="24"/>
          <w:szCs w:val="24"/>
          <w:lang w:eastAsia="en-US"/>
        </w:rPr>
        <w:t xml:space="preserve"> лечения</w:t>
      </w:r>
      <w:r>
        <w:rPr>
          <w:rStyle w:val="CommentReference"/>
          <w:rFonts w:eastAsia="SimSun"/>
          <w:sz w:val="24"/>
          <w:szCs w:val="24"/>
          <w:lang w:eastAsia="en-US"/>
        </w:rPr>
        <w:t>:</w:t>
      </w:r>
    </w:p>
    <w:p w14:paraId="0799529F" w14:textId="173AEA99" w:rsidR="007E63B7" w:rsidRPr="00F200CA" w:rsidRDefault="007E63B7" w:rsidP="00C957E2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 w:rsidRPr="00F200CA">
        <w:rPr>
          <w:rFonts w:eastAsia="Batang"/>
        </w:rPr>
        <w:t xml:space="preserve">4 цикла терапии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DD31F9">
        <w:rPr>
          <w:rFonts w:eastAsia="Batang"/>
        </w:rPr>
        <w:t xml:space="preserve"> в комбинации с </w:t>
      </w:r>
      <w:proofErr w:type="spellStart"/>
      <w:r w:rsidRPr="00F200CA">
        <w:rPr>
          <w:rFonts w:eastAsia="Batang"/>
        </w:rPr>
        <w:t>трастузумабом</w:t>
      </w:r>
      <w:proofErr w:type="spellEnd"/>
      <w:r w:rsidRPr="00F200CA">
        <w:rPr>
          <w:rFonts w:eastAsia="Batang"/>
        </w:rPr>
        <w:t xml:space="preserve"> и </w:t>
      </w:r>
      <w:proofErr w:type="spellStart"/>
      <w:r w:rsidRPr="00F200CA">
        <w:rPr>
          <w:rFonts w:eastAsia="Batang"/>
        </w:rPr>
        <w:t>доцетакселом</w:t>
      </w:r>
      <w:proofErr w:type="spellEnd"/>
      <w:r w:rsidR="001E444C" w:rsidRPr="00F200CA">
        <w:rPr>
          <w:rFonts w:eastAsia="Batang"/>
        </w:rPr>
        <w:t xml:space="preserve">, затем 3 цикла постоперационной терапии </w:t>
      </w:r>
      <w:proofErr w:type="spellStart"/>
      <w:r w:rsidR="001E444C" w:rsidRPr="00F200CA">
        <w:rPr>
          <w:rFonts w:eastAsia="Batang"/>
        </w:rPr>
        <w:t>фторурацилом</w:t>
      </w:r>
      <w:proofErr w:type="spellEnd"/>
      <w:r w:rsidR="001E444C" w:rsidRPr="00F200CA">
        <w:rPr>
          <w:rFonts w:eastAsia="Batang"/>
        </w:rPr>
        <w:t xml:space="preserve">, </w:t>
      </w:r>
      <w:proofErr w:type="spellStart"/>
      <w:r w:rsidR="001E444C" w:rsidRPr="00F200CA">
        <w:rPr>
          <w:rFonts w:eastAsia="Batang"/>
        </w:rPr>
        <w:t>эпирубицином</w:t>
      </w:r>
      <w:proofErr w:type="spellEnd"/>
      <w:r w:rsidR="001E444C" w:rsidRPr="00F200CA">
        <w:rPr>
          <w:rFonts w:eastAsia="Batang"/>
        </w:rPr>
        <w:t xml:space="preserve"> и </w:t>
      </w:r>
      <w:proofErr w:type="spellStart"/>
      <w:r w:rsidR="001E444C" w:rsidRPr="00F200CA">
        <w:rPr>
          <w:rFonts w:eastAsia="Batang"/>
        </w:rPr>
        <w:t>циклофосфамидом</w:t>
      </w:r>
      <w:proofErr w:type="spellEnd"/>
      <w:r w:rsidR="00BE5F5D" w:rsidRPr="00F200CA">
        <w:rPr>
          <w:rFonts w:eastAsia="Batang"/>
        </w:rPr>
        <w:t xml:space="preserve"> (</w:t>
      </w:r>
      <w:r w:rsidR="008221BE">
        <w:rPr>
          <w:rFonts w:eastAsia="Batang"/>
          <w:lang w:val="en-US"/>
        </w:rPr>
        <w:t>FEC</w:t>
      </w:r>
      <w:r w:rsidR="00BE5F5D" w:rsidRPr="00F200CA">
        <w:rPr>
          <w:rFonts w:eastAsia="Batang"/>
        </w:rPr>
        <w:t>)</w:t>
      </w:r>
      <w:r w:rsidR="0008724C">
        <w:rPr>
          <w:rFonts w:eastAsia="Batang"/>
        </w:rPr>
        <w:t>;</w:t>
      </w:r>
      <w:r w:rsidR="00FD30AC" w:rsidRPr="00F200CA">
        <w:rPr>
          <w:rFonts w:eastAsia="Batang"/>
        </w:rPr>
        <w:t xml:space="preserve"> </w:t>
      </w:r>
    </w:p>
    <w:p w14:paraId="2003530A" w14:textId="77777777" w:rsidR="00026D4A" w:rsidRPr="001034DE" w:rsidRDefault="004A246A" w:rsidP="00C957E2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 w:rsidRPr="001034DE">
        <w:rPr>
          <w:rFonts w:eastAsia="Batang"/>
        </w:rPr>
        <w:t xml:space="preserve">3 </w:t>
      </w:r>
      <w:r w:rsidR="003269C1" w:rsidRPr="001034DE">
        <w:rPr>
          <w:rFonts w:eastAsia="Batang"/>
        </w:rPr>
        <w:t xml:space="preserve">или 4 </w:t>
      </w:r>
      <w:r w:rsidRPr="001034DE">
        <w:rPr>
          <w:rFonts w:eastAsia="Batang"/>
        </w:rPr>
        <w:t xml:space="preserve">цикла предоперационной терапии </w:t>
      </w:r>
      <w:proofErr w:type="spellStart"/>
      <w:r w:rsidRPr="001034DE">
        <w:rPr>
          <w:rFonts w:eastAsia="Batang"/>
        </w:rPr>
        <w:t>фторурацилом</w:t>
      </w:r>
      <w:proofErr w:type="spellEnd"/>
      <w:r w:rsidRPr="001034DE">
        <w:rPr>
          <w:rFonts w:eastAsia="Batang"/>
        </w:rPr>
        <w:t xml:space="preserve">, </w:t>
      </w:r>
      <w:proofErr w:type="spellStart"/>
      <w:r w:rsidRPr="001034DE">
        <w:rPr>
          <w:rFonts w:eastAsia="Batang"/>
        </w:rPr>
        <w:t>эпирубицином</w:t>
      </w:r>
      <w:proofErr w:type="spellEnd"/>
      <w:r w:rsidRPr="001034DE">
        <w:rPr>
          <w:rFonts w:eastAsia="Batang"/>
        </w:rPr>
        <w:t xml:space="preserve"> и </w:t>
      </w:r>
      <w:proofErr w:type="spellStart"/>
      <w:r w:rsidRPr="001034DE">
        <w:rPr>
          <w:rFonts w:eastAsia="Batang"/>
        </w:rPr>
        <w:t>циклофосфамидом</w:t>
      </w:r>
      <w:proofErr w:type="spellEnd"/>
      <w:r w:rsidRPr="001034DE">
        <w:rPr>
          <w:rFonts w:eastAsia="Batang"/>
        </w:rPr>
        <w:t xml:space="preserve">, затем 3 </w:t>
      </w:r>
      <w:r w:rsidR="00213787" w:rsidRPr="001034DE">
        <w:rPr>
          <w:rFonts w:eastAsia="Batang"/>
        </w:rPr>
        <w:t xml:space="preserve">или 4 </w:t>
      </w:r>
      <w:r w:rsidRPr="001034DE">
        <w:rPr>
          <w:rFonts w:eastAsia="Batang"/>
        </w:rPr>
        <w:t xml:space="preserve">цикла терапии препаратом </w:t>
      </w:r>
      <w:proofErr w:type="spellStart"/>
      <w:r w:rsidR="009E4769" w:rsidRPr="001034DE">
        <w:t>Перьета</w:t>
      </w:r>
      <w:proofErr w:type="spellEnd"/>
      <w:r w:rsidR="009E4769" w:rsidRPr="001034DE">
        <w:rPr>
          <w:vertAlign w:val="superscript"/>
        </w:rPr>
        <w:t>®</w:t>
      </w:r>
      <w:r w:rsidRPr="001034DE">
        <w:rPr>
          <w:rFonts w:eastAsia="Batang"/>
        </w:rPr>
        <w:t xml:space="preserve"> в комбинации с </w:t>
      </w:r>
      <w:proofErr w:type="spellStart"/>
      <w:r w:rsidRPr="001034DE">
        <w:rPr>
          <w:rFonts w:eastAsia="Batang"/>
        </w:rPr>
        <w:t>трастузума</w:t>
      </w:r>
      <w:r w:rsidR="0008724C" w:rsidRPr="001034DE">
        <w:rPr>
          <w:rFonts w:eastAsia="Batang"/>
        </w:rPr>
        <w:t>бом</w:t>
      </w:r>
      <w:proofErr w:type="spellEnd"/>
      <w:r w:rsidR="0008724C" w:rsidRPr="001034DE">
        <w:rPr>
          <w:rFonts w:eastAsia="Batang"/>
        </w:rPr>
        <w:t xml:space="preserve"> и </w:t>
      </w:r>
      <w:proofErr w:type="spellStart"/>
      <w:r w:rsidR="0008724C" w:rsidRPr="001034DE">
        <w:rPr>
          <w:rFonts w:eastAsia="Batang"/>
        </w:rPr>
        <w:t>доцетакселом</w:t>
      </w:r>
      <w:proofErr w:type="spellEnd"/>
      <w:r w:rsidR="0008724C" w:rsidRPr="001034DE">
        <w:rPr>
          <w:rFonts w:eastAsia="Batang"/>
        </w:rPr>
        <w:t>;</w:t>
      </w:r>
      <w:r w:rsidRPr="001034DE">
        <w:rPr>
          <w:rFonts w:eastAsia="Batang"/>
        </w:rPr>
        <w:t xml:space="preserve"> </w:t>
      </w:r>
    </w:p>
    <w:p w14:paraId="3A955FBB" w14:textId="5B4CEABB" w:rsidR="004A246A" w:rsidRPr="001034DE" w:rsidRDefault="004A246A" w:rsidP="00C957E2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 w:rsidRPr="001034DE">
        <w:rPr>
          <w:rFonts w:eastAsia="Batang"/>
        </w:rPr>
        <w:t xml:space="preserve">6 циклов терапии препаратом </w:t>
      </w:r>
      <w:proofErr w:type="spellStart"/>
      <w:r w:rsidR="009E4769" w:rsidRPr="001034DE">
        <w:t>Перьета</w:t>
      </w:r>
      <w:proofErr w:type="spellEnd"/>
      <w:r w:rsidR="009E4769" w:rsidRPr="001034DE">
        <w:rPr>
          <w:vertAlign w:val="superscript"/>
        </w:rPr>
        <w:t>®</w:t>
      </w:r>
      <w:r w:rsidR="00B90B23" w:rsidRPr="001034DE">
        <w:rPr>
          <w:rFonts w:eastAsia="Batang"/>
        </w:rPr>
        <w:t xml:space="preserve">, </w:t>
      </w:r>
      <w:proofErr w:type="spellStart"/>
      <w:r w:rsidRPr="001034DE">
        <w:rPr>
          <w:rFonts w:eastAsia="Batang"/>
        </w:rPr>
        <w:t>трастузума</w:t>
      </w:r>
      <w:r w:rsidR="00B90B23" w:rsidRPr="001034DE">
        <w:rPr>
          <w:rFonts w:eastAsia="Batang"/>
        </w:rPr>
        <w:t>бом</w:t>
      </w:r>
      <w:proofErr w:type="spellEnd"/>
      <w:r w:rsidR="00B90B23" w:rsidRPr="001034DE">
        <w:rPr>
          <w:rFonts w:eastAsia="Batang"/>
        </w:rPr>
        <w:t xml:space="preserve"> и</w:t>
      </w:r>
      <w:r w:rsidRPr="001034DE">
        <w:rPr>
          <w:rFonts w:eastAsia="Batang"/>
        </w:rPr>
        <w:t xml:space="preserve"> </w:t>
      </w:r>
      <w:proofErr w:type="spellStart"/>
      <w:r w:rsidRPr="001034DE">
        <w:rPr>
          <w:rFonts w:eastAsia="Batang"/>
        </w:rPr>
        <w:t>доце</w:t>
      </w:r>
      <w:r w:rsidR="00B90B23" w:rsidRPr="001034DE">
        <w:rPr>
          <w:rFonts w:eastAsia="Batang"/>
        </w:rPr>
        <w:t>такселом</w:t>
      </w:r>
      <w:proofErr w:type="spellEnd"/>
      <w:r w:rsidR="00B90B23" w:rsidRPr="001034DE">
        <w:rPr>
          <w:rFonts w:eastAsia="Batang"/>
        </w:rPr>
        <w:t xml:space="preserve"> в комбинации с </w:t>
      </w:r>
      <w:proofErr w:type="spellStart"/>
      <w:r w:rsidRPr="001034DE">
        <w:rPr>
          <w:rFonts w:eastAsia="Batang"/>
        </w:rPr>
        <w:t>карбоплатином</w:t>
      </w:r>
      <w:proofErr w:type="spellEnd"/>
      <w:r w:rsidRPr="001034DE">
        <w:rPr>
          <w:rFonts w:eastAsia="Batang"/>
        </w:rPr>
        <w:t xml:space="preserve"> </w:t>
      </w:r>
      <w:r w:rsidRPr="001034DE">
        <w:rPr>
          <w:rFonts w:eastAsia="Batang"/>
          <w:i/>
        </w:rPr>
        <w:t>(</w:t>
      </w:r>
      <w:r w:rsidRPr="001034DE">
        <w:rPr>
          <w:rFonts w:eastAsia="Batang"/>
          <w:b/>
          <w:i/>
        </w:rPr>
        <w:t xml:space="preserve">увеличение дозы </w:t>
      </w:r>
      <w:proofErr w:type="spellStart"/>
      <w:r w:rsidRPr="001034DE">
        <w:rPr>
          <w:rFonts w:eastAsia="Batang"/>
          <w:b/>
          <w:i/>
        </w:rPr>
        <w:t>доцетаксела</w:t>
      </w:r>
      <w:proofErr w:type="spellEnd"/>
      <w:r w:rsidRPr="001034DE">
        <w:rPr>
          <w:rFonts w:eastAsia="Batang"/>
          <w:b/>
          <w:i/>
        </w:rPr>
        <w:t xml:space="preserve"> </w:t>
      </w:r>
      <w:r w:rsidR="002554EF">
        <w:rPr>
          <w:rFonts w:eastAsia="Batang"/>
          <w:b/>
          <w:i/>
        </w:rPr>
        <w:t xml:space="preserve">более </w:t>
      </w:r>
      <w:r w:rsidRPr="001034DE">
        <w:rPr>
          <w:rFonts w:eastAsia="Batang"/>
          <w:b/>
          <w:i/>
        </w:rPr>
        <w:t>75 мг/м</w:t>
      </w:r>
      <w:r w:rsidRPr="001034DE">
        <w:rPr>
          <w:rFonts w:eastAsia="Batang"/>
          <w:b/>
          <w:i/>
          <w:vertAlign w:val="superscript"/>
        </w:rPr>
        <w:t>2</w:t>
      </w:r>
      <w:r w:rsidRPr="001034DE">
        <w:rPr>
          <w:rFonts w:eastAsia="Batang"/>
          <w:b/>
          <w:i/>
        </w:rPr>
        <w:t xml:space="preserve"> не рекомендовано</w:t>
      </w:r>
      <w:r w:rsidRPr="001034DE">
        <w:rPr>
          <w:rFonts w:eastAsia="Batang"/>
          <w:i/>
        </w:rPr>
        <w:t>)</w:t>
      </w:r>
      <w:r w:rsidR="00FE4C5C">
        <w:rPr>
          <w:rFonts w:eastAsia="Batang"/>
        </w:rPr>
        <w:t>;</w:t>
      </w:r>
      <w:r w:rsidRPr="001034DE">
        <w:rPr>
          <w:rFonts w:eastAsia="Batang"/>
        </w:rPr>
        <w:t xml:space="preserve"> </w:t>
      </w:r>
    </w:p>
    <w:p w14:paraId="2E23FEA9" w14:textId="1DA7BC29" w:rsidR="00213787" w:rsidRPr="001034DE" w:rsidRDefault="00BA6929" w:rsidP="00983313">
      <w:pPr>
        <w:pStyle w:val="ListParagraph"/>
        <w:numPr>
          <w:ilvl w:val="0"/>
          <w:numId w:val="53"/>
        </w:numPr>
        <w:spacing w:line="360" w:lineRule="auto"/>
        <w:rPr>
          <w:rFonts w:eastAsia="Batang"/>
        </w:rPr>
      </w:pPr>
      <w:r w:rsidRPr="001034DE">
        <w:rPr>
          <w:rFonts w:eastAsia="Batang"/>
        </w:rPr>
        <w:t xml:space="preserve">4 цикла </w:t>
      </w:r>
      <w:r w:rsidR="00D4629B" w:rsidRPr="001034DE">
        <w:rPr>
          <w:rFonts w:eastAsia="Batang"/>
        </w:rPr>
        <w:t xml:space="preserve">предоперационной </w:t>
      </w:r>
      <w:r w:rsidRPr="001034DE">
        <w:rPr>
          <w:rFonts w:eastAsia="Batang"/>
        </w:rPr>
        <w:t xml:space="preserve">терапии </w:t>
      </w:r>
      <w:proofErr w:type="spellStart"/>
      <w:r w:rsidRPr="001034DE">
        <w:rPr>
          <w:rFonts w:eastAsia="Batang"/>
        </w:rPr>
        <w:t>доксорубицином</w:t>
      </w:r>
      <w:proofErr w:type="spellEnd"/>
      <w:r w:rsidRPr="001034DE">
        <w:rPr>
          <w:rFonts w:eastAsia="Batang"/>
        </w:rPr>
        <w:t xml:space="preserve"> и </w:t>
      </w:r>
      <w:proofErr w:type="spellStart"/>
      <w:r w:rsidRPr="001034DE">
        <w:rPr>
          <w:rFonts w:eastAsia="Batang"/>
        </w:rPr>
        <w:t>циклофосфамидом</w:t>
      </w:r>
      <w:proofErr w:type="spellEnd"/>
      <w:r w:rsidRPr="001034DE">
        <w:rPr>
          <w:rFonts w:eastAsia="Batang"/>
        </w:rPr>
        <w:t xml:space="preserve"> </w:t>
      </w:r>
      <w:r w:rsidR="00373F85" w:rsidRPr="001034DE">
        <w:rPr>
          <w:rFonts w:eastAsia="Batang"/>
        </w:rPr>
        <w:t xml:space="preserve">каждые 2 </w:t>
      </w:r>
      <w:r w:rsidRPr="001034DE">
        <w:rPr>
          <w:rFonts w:eastAsia="Batang"/>
        </w:rPr>
        <w:t>недел</w:t>
      </w:r>
      <w:r w:rsidR="00373F85" w:rsidRPr="001034DE">
        <w:rPr>
          <w:rFonts w:eastAsia="Batang"/>
        </w:rPr>
        <w:t>и</w:t>
      </w:r>
      <w:r w:rsidRPr="001034DE">
        <w:rPr>
          <w:rFonts w:eastAsia="Batang"/>
        </w:rPr>
        <w:t xml:space="preserve"> (химиоте</w:t>
      </w:r>
      <w:r w:rsidR="00C200E7" w:rsidRPr="001034DE">
        <w:rPr>
          <w:rFonts w:eastAsia="Batang"/>
        </w:rPr>
        <w:t>рапия с сокращенными интервалами</w:t>
      </w:r>
      <w:r w:rsidR="00B23F6B">
        <w:rPr>
          <w:rFonts w:eastAsia="Batang"/>
        </w:rPr>
        <w:t xml:space="preserve"> между введени</w:t>
      </w:r>
      <w:r w:rsidR="006F06CF">
        <w:rPr>
          <w:rFonts w:eastAsia="Batang"/>
        </w:rPr>
        <w:t>ями</w:t>
      </w:r>
      <w:r w:rsidR="00216CF2">
        <w:rPr>
          <w:rFonts w:eastAsia="Batang"/>
        </w:rPr>
        <w:t>)</w:t>
      </w:r>
      <w:r w:rsidR="0011598F" w:rsidRPr="001034DE">
        <w:rPr>
          <w:rFonts w:eastAsia="Batang"/>
        </w:rPr>
        <w:t xml:space="preserve">, затем </w:t>
      </w:r>
      <w:r w:rsidR="00213787" w:rsidRPr="001034DE">
        <w:rPr>
          <w:rFonts w:eastAsia="Batang"/>
        </w:rPr>
        <w:t>4</w:t>
      </w:r>
      <w:r w:rsidR="00D4629B" w:rsidRPr="001034DE">
        <w:rPr>
          <w:rFonts w:eastAsia="Batang"/>
        </w:rPr>
        <w:t xml:space="preserve"> предоперационных</w:t>
      </w:r>
      <w:r w:rsidR="00213787" w:rsidRPr="001034DE">
        <w:rPr>
          <w:rFonts w:eastAsia="Batang"/>
        </w:rPr>
        <w:t xml:space="preserve"> цикла терапии препаратом </w:t>
      </w:r>
      <w:proofErr w:type="spellStart"/>
      <w:r w:rsidR="00213787" w:rsidRPr="001034DE">
        <w:rPr>
          <w:rFonts w:eastAsia="Batang"/>
        </w:rPr>
        <w:t>Перьета</w:t>
      </w:r>
      <w:proofErr w:type="spellEnd"/>
      <w:r w:rsidR="00213787" w:rsidRPr="001034DE">
        <w:rPr>
          <w:rFonts w:eastAsia="Batang"/>
          <w:vertAlign w:val="superscript"/>
        </w:rPr>
        <w:t>®</w:t>
      </w:r>
      <w:r w:rsidR="0011598F" w:rsidRPr="001034DE">
        <w:rPr>
          <w:rFonts w:eastAsia="Batang"/>
        </w:rPr>
        <w:t xml:space="preserve"> в комбинации с </w:t>
      </w:r>
      <w:proofErr w:type="spellStart"/>
      <w:r w:rsidR="0011598F" w:rsidRPr="001034DE">
        <w:rPr>
          <w:rFonts w:eastAsia="Batang"/>
        </w:rPr>
        <w:t>трастузумабом</w:t>
      </w:r>
      <w:proofErr w:type="spellEnd"/>
      <w:r w:rsidR="0011598F" w:rsidRPr="001034DE">
        <w:rPr>
          <w:rFonts w:eastAsia="Batang"/>
        </w:rPr>
        <w:t xml:space="preserve"> и </w:t>
      </w:r>
      <w:proofErr w:type="spellStart"/>
      <w:r w:rsidR="00520D7A" w:rsidRPr="001034DE">
        <w:rPr>
          <w:rFonts w:eastAsia="Batang"/>
        </w:rPr>
        <w:t>паклитакселом</w:t>
      </w:r>
      <w:proofErr w:type="spellEnd"/>
      <w:r w:rsidR="0011598F" w:rsidRPr="001034DE">
        <w:rPr>
          <w:rFonts w:eastAsia="Batang"/>
        </w:rPr>
        <w:t>.</w:t>
      </w:r>
    </w:p>
    <w:p w14:paraId="35ED5D5B" w14:textId="77777777" w:rsidR="001F6C39" w:rsidRPr="001034DE" w:rsidRDefault="001F6C39" w:rsidP="00983313">
      <w:pPr>
        <w:spacing w:line="360" w:lineRule="auto"/>
        <w:rPr>
          <w:rFonts w:eastAsia="Batang"/>
          <w:i/>
          <w:color w:val="000000"/>
        </w:rPr>
      </w:pPr>
      <w:proofErr w:type="spellStart"/>
      <w:r w:rsidRPr="001034DE">
        <w:rPr>
          <w:rFonts w:eastAsia="Batang"/>
          <w:i/>
          <w:color w:val="000000"/>
        </w:rPr>
        <w:t>Паклитаксел</w:t>
      </w:r>
      <w:proofErr w:type="spellEnd"/>
    </w:p>
    <w:p w14:paraId="26ED838E" w14:textId="5D306A9B" w:rsidR="009171CE" w:rsidRDefault="001F6C39" w:rsidP="00421910">
      <w:pPr>
        <w:spacing w:line="360" w:lineRule="auto"/>
        <w:rPr>
          <w:rFonts w:eastAsia="Batang"/>
          <w:color w:val="000000"/>
        </w:rPr>
      </w:pPr>
      <w:r w:rsidRPr="001034DE">
        <w:rPr>
          <w:rFonts w:eastAsia="Batang"/>
          <w:color w:val="000000"/>
        </w:rPr>
        <w:t xml:space="preserve">При применении в комбинации с препаратом </w:t>
      </w:r>
      <w:proofErr w:type="spellStart"/>
      <w:r w:rsidRPr="001034DE">
        <w:t>Перьета</w:t>
      </w:r>
      <w:proofErr w:type="spellEnd"/>
      <w:r w:rsidRPr="001034DE">
        <w:rPr>
          <w:vertAlign w:val="superscript"/>
        </w:rPr>
        <w:t>®</w:t>
      </w:r>
      <w:r w:rsidRPr="001034DE">
        <w:rPr>
          <w:rFonts w:eastAsia="Batang"/>
          <w:color w:val="000000"/>
        </w:rPr>
        <w:t xml:space="preserve"> рекомендуемая доза </w:t>
      </w:r>
      <w:proofErr w:type="spellStart"/>
      <w:r w:rsidRPr="001034DE">
        <w:rPr>
          <w:rFonts w:eastAsia="Batang"/>
          <w:color w:val="000000"/>
        </w:rPr>
        <w:t>паклитаксела</w:t>
      </w:r>
      <w:proofErr w:type="spellEnd"/>
      <w:r w:rsidRPr="001034DE">
        <w:rPr>
          <w:rFonts w:eastAsia="Batang"/>
          <w:color w:val="000000"/>
        </w:rPr>
        <w:t xml:space="preserve"> составляет 80 мг/м</w:t>
      </w:r>
      <w:r w:rsidRPr="001034DE">
        <w:rPr>
          <w:rFonts w:eastAsia="Batang"/>
          <w:color w:val="000000"/>
          <w:vertAlign w:val="superscript"/>
        </w:rPr>
        <w:t>2</w:t>
      </w:r>
      <w:r w:rsidRPr="001034DE">
        <w:rPr>
          <w:rFonts w:eastAsia="Batang"/>
          <w:color w:val="000000"/>
        </w:rPr>
        <w:t xml:space="preserve"> в виде внутривенной инфузии 1 раз в неделю.</w:t>
      </w:r>
    </w:p>
    <w:p w14:paraId="255E2491" w14:textId="10F55D9A" w:rsidR="008A5040" w:rsidRPr="00983313" w:rsidRDefault="0058687B" w:rsidP="00983313">
      <w:pPr>
        <w:spacing w:line="360" w:lineRule="auto"/>
        <w:rPr>
          <w:rFonts w:eastAsia="Batang"/>
          <w:color w:val="000000"/>
        </w:rPr>
      </w:pPr>
      <w:r>
        <w:rPr>
          <w:rStyle w:val="CommentReference"/>
          <w:rFonts w:eastAsia="SimSun"/>
          <w:sz w:val="24"/>
          <w:szCs w:val="24"/>
          <w:lang w:eastAsia="en-US"/>
        </w:rPr>
        <w:lastRenderedPageBreak/>
        <w:t xml:space="preserve">Пациентам, начавшим применение препарата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Перьета</w:t>
      </w:r>
      <w:proofErr w:type="spellEnd"/>
      <w:r w:rsidRPr="00E14055">
        <w:rPr>
          <w:vertAlign w:val="superscript"/>
        </w:rPr>
        <w:t>®</w:t>
      </w:r>
      <w:r>
        <w:rPr>
          <w:rStyle w:val="CommentReference"/>
          <w:rFonts w:eastAsia="SimSun"/>
          <w:sz w:val="24"/>
          <w:szCs w:val="24"/>
          <w:lang w:eastAsia="en-US"/>
        </w:rPr>
        <w:t xml:space="preserve"> в комбинации с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трастузумабом</w:t>
      </w:r>
      <w:proofErr w:type="spellEnd"/>
      <w:r>
        <w:rPr>
          <w:rStyle w:val="CommentReference"/>
          <w:rFonts w:eastAsia="SimSun"/>
          <w:sz w:val="24"/>
          <w:szCs w:val="24"/>
          <w:lang w:eastAsia="en-US"/>
        </w:rPr>
        <w:t xml:space="preserve"> в качестве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неоадъювантной</w:t>
      </w:r>
      <w:proofErr w:type="spellEnd"/>
      <w:r>
        <w:rPr>
          <w:rStyle w:val="CommentReference"/>
          <w:rFonts w:eastAsia="SimSun"/>
          <w:sz w:val="24"/>
          <w:szCs w:val="24"/>
          <w:lang w:eastAsia="en-US"/>
        </w:rPr>
        <w:t xml:space="preserve"> терапии, следует продолжать лечение препаратом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Перьета</w:t>
      </w:r>
      <w:proofErr w:type="spellEnd"/>
      <w:r w:rsidRPr="00E14055">
        <w:rPr>
          <w:vertAlign w:val="superscript"/>
        </w:rPr>
        <w:t>®</w:t>
      </w:r>
      <w:r>
        <w:rPr>
          <w:rStyle w:val="CommentReference"/>
          <w:rFonts w:eastAsia="SimSun"/>
          <w:sz w:val="24"/>
          <w:szCs w:val="24"/>
          <w:lang w:eastAsia="en-US"/>
        </w:rPr>
        <w:t xml:space="preserve"> в комбинации с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трастузумабом</w:t>
      </w:r>
      <w:proofErr w:type="spellEnd"/>
      <w:r>
        <w:rPr>
          <w:rStyle w:val="CommentReference"/>
          <w:rFonts w:eastAsia="SimSun"/>
          <w:sz w:val="24"/>
          <w:szCs w:val="24"/>
          <w:lang w:eastAsia="en-US"/>
        </w:rPr>
        <w:t xml:space="preserve"> в качестве </w:t>
      </w:r>
      <w:proofErr w:type="spellStart"/>
      <w:r>
        <w:rPr>
          <w:rStyle w:val="CommentReference"/>
          <w:rFonts w:eastAsia="SimSun"/>
          <w:sz w:val="24"/>
          <w:szCs w:val="24"/>
          <w:lang w:eastAsia="en-US"/>
        </w:rPr>
        <w:t>адъювантной</w:t>
      </w:r>
      <w:proofErr w:type="spellEnd"/>
      <w:r>
        <w:rPr>
          <w:rStyle w:val="CommentReference"/>
          <w:rFonts w:eastAsia="SimSun"/>
          <w:sz w:val="24"/>
          <w:szCs w:val="24"/>
          <w:lang w:eastAsia="en-US"/>
        </w:rPr>
        <w:t xml:space="preserve"> терапии для завершения лечения продолжительностью 1 год</w:t>
      </w:r>
      <w:r w:rsidR="006A5197" w:rsidRPr="005C5C1E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6A5197" w:rsidRPr="002A44E8">
        <w:rPr>
          <w:rFonts w:eastAsia="Batang"/>
        </w:rPr>
        <w:t>(</w:t>
      </w:r>
      <w:r w:rsidR="006A5197">
        <w:rPr>
          <w:rFonts w:eastAsia="Batang"/>
        </w:rPr>
        <w:t xml:space="preserve">максимум </w:t>
      </w:r>
      <w:r w:rsidR="006A5197" w:rsidRPr="002A44E8">
        <w:rPr>
          <w:rFonts w:eastAsia="Batang"/>
        </w:rPr>
        <w:t>18 циклов)</w:t>
      </w:r>
      <w:r>
        <w:rPr>
          <w:rStyle w:val="CommentReference"/>
          <w:rFonts w:eastAsia="SimSun"/>
          <w:sz w:val="24"/>
          <w:szCs w:val="24"/>
          <w:lang w:eastAsia="en-US"/>
        </w:rPr>
        <w:t xml:space="preserve">. </w:t>
      </w:r>
    </w:p>
    <w:p w14:paraId="73314872" w14:textId="6BB5D108" w:rsidR="00A36C5D" w:rsidRDefault="00D94AD2" w:rsidP="00421910">
      <w:pPr>
        <w:spacing w:line="360" w:lineRule="auto"/>
        <w:rPr>
          <w:rFonts w:eastAsia="Batang"/>
        </w:rPr>
      </w:pPr>
      <w:r>
        <w:rPr>
          <w:rFonts w:eastAsia="Batang"/>
          <w:i/>
        </w:rPr>
        <w:t xml:space="preserve">В качестве </w:t>
      </w:r>
      <w:proofErr w:type="spellStart"/>
      <w:r w:rsidRPr="00C25746">
        <w:rPr>
          <w:rFonts w:eastAsia="Batang"/>
          <w:b/>
          <w:i/>
        </w:rPr>
        <w:t>адъювантной</w:t>
      </w:r>
      <w:proofErr w:type="spellEnd"/>
      <w:r w:rsidRPr="00C25746">
        <w:rPr>
          <w:rFonts w:eastAsia="Batang"/>
          <w:b/>
          <w:i/>
        </w:rPr>
        <w:t xml:space="preserve"> терапии</w:t>
      </w:r>
      <w:r w:rsidR="00FF0E10">
        <w:rPr>
          <w:rFonts w:eastAsia="Batang"/>
          <w:i/>
        </w:rPr>
        <w:t xml:space="preserve"> </w:t>
      </w:r>
      <w:r w:rsidR="00FF0E10" w:rsidRPr="00FF0E10">
        <w:rPr>
          <w:rFonts w:eastAsia="Batang"/>
        </w:rPr>
        <w:t>(</w:t>
      </w:r>
      <w:r w:rsidR="00B23F6B" w:rsidRPr="00F200CA">
        <w:rPr>
          <w:rFonts w:eastAsia="Batang"/>
        </w:rPr>
        <w:t>постоперационной</w:t>
      </w:r>
      <w:r w:rsidR="00FF0E10" w:rsidRPr="00FF0E10">
        <w:rPr>
          <w:rFonts w:eastAsia="Batang"/>
        </w:rPr>
        <w:t>)</w:t>
      </w:r>
      <w:r w:rsidRPr="00421910">
        <w:rPr>
          <w:rFonts w:eastAsia="Batang"/>
          <w:i/>
        </w:rPr>
        <w:t xml:space="preserve"> </w:t>
      </w:r>
      <w:r w:rsidR="00421910" w:rsidRPr="00421910">
        <w:rPr>
          <w:rFonts w:eastAsia="Batang"/>
        </w:rPr>
        <w:t>п</w:t>
      </w:r>
      <w:r w:rsidR="00421910" w:rsidRPr="002A44E8">
        <w:rPr>
          <w:rFonts w:eastAsia="Batang"/>
        </w:rPr>
        <w:t>репарат</w:t>
      </w:r>
      <w:r w:rsidR="00421910" w:rsidRPr="005E42F5">
        <w:t xml:space="preserve"> </w:t>
      </w:r>
      <w:proofErr w:type="spellStart"/>
      <w:r w:rsidR="00421910" w:rsidRPr="00E14055">
        <w:t>Перьета</w:t>
      </w:r>
      <w:proofErr w:type="spellEnd"/>
      <w:r w:rsidR="00421910" w:rsidRPr="002A44E8">
        <w:rPr>
          <w:vertAlign w:val="superscript"/>
        </w:rPr>
        <w:t>®</w:t>
      </w:r>
      <w:r w:rsidR="00421910">
        <w:t xml:space="preserve"> следует вводить в комбинации с </w:t>
      </w:r>
      <w:proofErr w:type="spellStart"/>
      <w:r w:rsidR="00421910">
        <w:t>трастузумабом</w:t>
      </w:r>
      <w:proofErr w:type="spellEnd"/>
      <w:r w:rsidR="00421910">
        <w:t xml:space="preserve"> </w:t>
      </w:r>
      <w:r w:rsidR="00421910" w:rsidRPr="002A44E8">
        <w:rPr>
          <w:rFonts w:eastAsia="Batang"/>
        </w:rPr>
        <w:t>до момента, когда общая продолжительность терапии составит 1 год (</w:t>
      </w:r>
      <w:r w:rsidR="00702182">
        <w:rPr>
          <w:rFonts w:eastAsia="Batang"/>
        </w:rPr>
        <w:t xml:space="preserve">максимум </w:t>
      </w:r>
      <w:r w:rsidR="00421910" w:rsidRPr="002A44E8">
        <w:rPr>
          <w:rFonts w:eastAsia="Batang"/>
        </w:rPr>
        <w:t xml:space="preserve">18 циклов), или до прогрессирования заболевания, или до развития </w:t>
      </w:r>
      <w:r w:rsidR="00B23F6B">
        <w:rPr>
          <w:rFonts w:eastAsia="Batang"/>
        </w:rPr>
        <w:t xml:space="preserve">признаков </w:t>
      </w:r>
      <w:r w:rsidR="00AB2E4B">
        <w:rPr>
          <w:rFonts w:eastAsia="Batang"/>
        </w:rPr>
        <w:t>неприемлемой</w:t>
      </w:r>
      <w:r w:rsidR="00421910" w:rsidRPr="002A44E8">
        <w:rPr>
          <w:rFonts w:eastAsia="Batang"/>
        </w:rPr>
        <w:t xml:space="preserve"> токсичности, в зависимости от того, что произойдет раньше. </w:t>
      </w:r>
    </w:p>
    <w:p w14:paraId="0B1644C4" w14:textId="3BA5126A" w:rsidR="00AC4415" w:rsidRDefault="00421910" w:rsidP="00421910">
      <w:pPr>
        <w:spacing w:line="360" w:lineRule="auto"/>
        <w:rPr>
          <w:rStyle w:val="CommentReference"/>
          <w:rFonts w:eastAsia="SimSun"/>
          <w:sz w:val="24"/>
          <w:szCs w:val="24"/>
          <w:lang w:eastAsia="en-US"/>
        </w:rPr>
      </w:pPr>
      <w:r w:rsidRPr="002A44E8">
        <w:rPr>
          <w:rFonts w:eastAsia="Batang"/>
        </w:rPr>
        <w:t xml:space="preserve">Препарат </w:t>
      </w:r>
      <w:proofErr w:type="spellStart"/>
      <w:r w:rsidRPr="00E14055">
        <w:t>Перьета</w:t>
      </w:r>
      <w:proofErr w:type="spellEnd"/>
      <w:r w:rsidRPr="002A44E8">
        <w:rPr>
          <w:vertAlign w:val="superscript"/>
        </w:rPr>
        <w:t>®</w:t>
      </w:r>
      <w:r>
        <w:t xml:space="preserve"> в комбинации с </w:t>
      </w:r>
      <w:proofErr w:type="spellStart"/>
      <w:r>
        <w:t>трастузумабом</w:t>
      </w:r>
      <w:proofErr w:type="spellEnd"/>
      <w:r>
        <w:t xml:space="preserve"> применяют </w:t>
      </w:r>
      <w:r w:rsidRPr="002A44E8">
        <w:rPr>
          <w:rFonts w:eastAsia="Batang"/>
          <w:color w:val="000000"/>
        </w:rPr>
        <w:t>в составе полной схемы лечения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раннего рака молочной железы, включа</w:t>
      </w:r>
      <w:r>
        <w:rPr>
          <w:rStyle w:val="CommentReference"/>
          <w:rFonts w:eastAsia="SimSun"/>
          <w:sz w:val="24"/>
          <w:szCs w:val="24"/>
          <w:lang w:eastAsia="en-US"/>
        </w:rPr>
        <w:t>ющей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стандартную химиотерапию на основе </w:t>
      </w:r>
      <w:proofErr w:type="spellStart"/>
      <w:r w:rsidR="006C71D9">
        <w:rPr>
          <w:rStyle w:val="CommentReference"/>
          <w:rFonts w:eastAsia="SimSun"/>
          <w:sz w:val="24"/>
          <w:szCs w:val="24"/>
          <w:lang w:eastAsia="en-US"/>
        </w:rPr>
        <w:t>таксана</w:t>
      </w:r>
      <w:proofErr w:type="spellEnd"/>
      <w:r w:rsidR="004A287B">
        <w:rPr>
          <w:rStyle w:val="CommentReference"/>
          <w:rFonts w:eastAsia="SimSun"/>
          <w:sz w:val="24"/>
          <w:szCs w:val="24"/>
          <w:lang w:eastAsia="en-US"/>
        </w:rPr>
        <w:t xml:space="preserve"> в сочетании с </w:t>
      </w:r>
      <w:proofErr w:type="spellStart"/>
      <w:r w:rsidR="004A287B">
        <w:rPr>
          <w:rStyle w:val="CommentReference"/>
          <w:rFonts w:eastAsia="SimSun"/>
          <w:sz w:val="24"/>
          <w:szCs w:val="24"/>
          <w:lang w:eastAsia="en-US"/>
        </w:rPr>
        <w:t>антр</w:t>
      </w:r>
      <w:r w:rsidR="00AA297A">
        <w:rPr>
          <w:rStyle w:val="CommentReference"/>
          <w:rFonts w:eastAsia="SimSun"/>
          <w:sz w:val="24"/>
          <w:szCs w:val="24"/>
          <w:lang w:eastAsia="en-US"/>
        </w:rPr>
        <w:t>а</w:t>
      </w:r>
      <w:r w:rsidR="004A287B">
        <w:rPr>
          <w:rStyle w:val="CommentReference"/>
          <w:rFonts w:eastAsia="SimSun"/>
          <w:sz w:val="24"/>
          <w:szCs w:val="24"/>
          <w:lang w:eastAsia="en-US"/>
        </w:rPr>
        <w:t>циклин</w:t>
      </w:r>
      <w:proofErr w:type="spellEnd"/>
      <w:r w:rsidR="004A287B">
        <w:rPr>
          <w:rStyle w:val="CommentReference"/>
          <w:rFonts w:eastAsia="SimSun"/>
          <w:sz w:val="24"/>
          <w:szCs w:val="24"/>
          <w:lang w:eastAsia="en-US"/>
        </w:rPr>
        <w:t>-</w:t>
      </w:r>
      <w:r w:rsidR="00FE3949">
        <w:rPr>
          <w:rStyle w:val="CommentReference"/>
          <w:rFonts w:eastAsia="SimSun"/>
          <w:sz w:val="24"/>
          <w:szCs w:val="24"/>
          <w:lang w:eastAsia="en-US"/>
        </w:rPr>
        <w:t>содержащей терапией или без нее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. Введение препарата </w:t>
      </w:r>
      <w:proofErr w:type="spellStart"/>
      <w:r w:rsidRPr="002A44E8">
        <w:rPr>
          <w:rStyle w:val="CommentReference"/>
          <w:rFonts w:eastAsia="SimSun"/>
          <w:sz w:val="24"/>
          <w:szCs w:val="24"/>
          <w:lang w:eastAsia="en-US"/>
        </w:rPr>
        <w:t>Перьета</w:t>
      </w:r>
      <w:proofErr w:type="spellEnd"/>
      <w:r w:rsidRPr="002A44E8">
        <w:rPr>
          <w:vertAlign w:val="superscript"/>
        </w:rPr>
        <w:t>®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в комбинации с </w:t>
      </w:r>
      <w:proofErr w:type="spellStart"/>
      <w:r w:rsidRPr="002A44E8">
        <w:rPr>
          <w:rStyle w:val="CommentReference"/>
          <w:rFonts w:eastAsia="SimSun"/>
          <w:sz w:val="24"/>
          <w:szCs w:val="24"/>
          <w:lang w:eastAsia="en-US"/>
        </w:rPr>
        <w:t>трастузумабом</w:t>
      </w:r>
      <w:proofErr w:type="spellEnd"/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следует начинать в день 1 первого цикла </w:t>
      </w:r>
      <w:proofErr w:type="spellStart"/>
      <w:r w:rsidRPr="002A44E8">
        <w:rPr>
          <w:rStyle w:val="CommentReference"/>
          <w:rFonts w:eastAsia="SimSun"/>
          <w:sz w:val="24"/>
          <w:szCs w:val="24"/>
          <w:lang w:eastAsia="en-US"/>
        </w:rPr>
        <w:t>таксан</w:t>
      </w:r>
      <w:proofErr w:type="spellEnd"/>
      <w:r w:rsidRPr="002A44E8">
        <w:rPr>
          <w:rStyle w:val="CommentReference"/>
          <w:rFonts w:eastAsia="SimSun"/>
          <w:sz w:val="24"/>
          <w:szCs w:val="24"/>
          <w:lang w:eastAsia="en-US"/>
        </w:rPr>
        <w:t>-содержащей химиотерапии и продолжать</w:t>
      </w:r>
      <w:r w:rsidR="004A287B">
        <w:rPr>
          <w:rStyle w:val="CommentReference"/>
          <w:rFonts w:eastAsia="SimSun"/>
          <w:sz w:val="24"/>
          <w:szCs w:val="24"/>
          <w:lang w:eastAsia="en-US"/>
        </w:rPr>
        <w:t xml:space="preserve">, в том числе </w:t>
      </w:r>
      <w:r w:rsidR="006B63EF">
        <w:rPr>
          <w:rStyle w:val="CommentReference"/>
          <w:rFonts w:eastAsia="SimSun"/>
          <w:sz w:val="24"/>
          <w:szCs w:val="24"/>
          <w:lang w:eastAsia="en-US"/>
        </w:rPr>
        <w:t xml:space="preserve">и </w:t>
      </w:r>
      <w:r w:rsidR="007652E8">
        <w:rPr>
          <w:rStyle w:val="CommentReference"/>
          <w:rFonts w:eastAsia="SimSun"/>
          <w:sz w:val="24"/>
          <w:szCs w:val="24"/>
          <w:lang w:eastAsia="en-US"/>
        </w:rPr>
        <w:t>в случае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отмен</w:t>
      </w:r>
      <w:r w:rsidR="007652E8">
        <w:rPr>
          <w:rStyle w:val="CommentReference"/>
          <w:rFonts w:eastAsia="SimSun"/>
          <w:sz w:val="24"/>
          <w:szCs w:val="24"/>
          <w:lang w:eastAsia="en-US"/>
        </w:rPr>
        <w:t>ы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химиотерапии</w:t>
      </w:r>
      <w:r w:rsidRPr="00D95FA7">
        <w:rPr>
          <w:rStyle w:val="CommentReference"/>
          <w:rFonts w:eastAsia="SimSun"/>
          <w:sz w:val="24"/>
          <w:szCs w:val="24"/>
          <w:lang w:eastAsia="en-US"/>
        </w:rPr>
        <w:t xml:space="preserve">. </w:t>
      </w:r>
    </w:p>
    <w:p w14:paraId="5C433B18" w14:textId="6CBDEE64" w:rsidR="00421910" w:rsidRDefault="00421910" w:rsidP="00421910">
      <w:pPr>
        <w:spacing w:line="360" w:lineRule="auto"/>
        <w:rPr>
          <w:rStyle w:val="CommentReference"/>
          <w:rFonts w:eastAsia="SimSun"/>
          <w:sz w:val="24"/>
          <w:szCs w:val="24"/>
          <w:lang w:eastAsia="en-US"/>
        </w:rPr>
      </w:pP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Применение препарата </w:t>
      </w:r>
      <w:proofErr w:type="spellStart"/>
      <w:r w:rsidRPr="002A44E8">
        <w:rPr>
          <w:rStyle w:val="CommentReference"/>
          <w:rFonts w:eastAsia="SimSun"/>
          <w:sz w:val="24"/>
          <w:szCs w:val="24"/>
          <w:lang w:eastAsia="en-US"/>
        </w:rPr>
        <w:t>Перьета</w:t>
      </w:r>
      <w:proofErr w:type="spellEnd"/>
      <w:r w:rsidRPr="002A44E8">
        <w:rPr>
          <w:vertAlign w:val="superscript"/>
        </w:rPr>
        <w:t>®</w:t>
      </w:r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в комбинации с </w:t>
      </w:r>
      <w:proofErr w:type="spellStart"/>
      <w:r w:rsidRPr="002A44E8">
        <w:rPr>
          <w:rStyle w:val="CommentReference"/>
          <w:rFonts w:eastAsia="SimSun"/>
          <w:sz w:val="24"/>
          <w:szCs w:val="24"/>
          <w:lang w:eastAsia="en-US"/>
        </w:rPr>
        <w:t>трастузумабом</w:t>
      </w:r>
      <w:proofErr w:type="spellEnd"/>
      <w:r w:rsidRPr="002A44E8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EB38A0">
        <w:rPr>
          <w:rStyle w:val="CommentReference"/>
          <w:rFonts w:eastAsia="SimSun"/>
          <w:sz w:val="24"/>
          <w:szCs w:val="24"/>
          <w:lang w:eastAsia="en-US"/>
        </w:rPr>
        <w:t xml:space="preserve">в качестве </w:t>
      </w:r>
      <w:proofErr w:type="spellStart"/>
      <w:r w:rsidR="00EB38A0" w:rsidRPr="00EB38A0">
        <w:rPr>
          <w:rStyle w:val="CommentReference"/>
          <w:rFonts w:eastAsia="SimSun"/>
          <w:sz w:val="24"/>
          <w:szCs w:val="24"/>
          <w:lang w:eastAsia="en-US"/>
        </w:rPr>
        <w:t>адъювантной</w:t>
      </w:r>
      <w:proofErr w:type="spellEnd"/>
      <w:r w:rsidR="00EB38A0" w:rsidRPr="00EB38A0">
        <w:rPr>
          <w:rStyle w:val="CommentReference"/>
          <w:rFonts w:eastAsia="SimSun"/>
          <w:sz w:val="24"/>
          <w:szCs w:val="24"/>
          <w:lang w:eastAsia="en-US"/>
        </w:rPr>
        <w:t xml:space="preserve"> терапии</w:t>
      </w:r>
      <w:r w:rsidR="00EB38A0" w:rsidRPr="002A44E8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EB38A0" w:rsidRPr="00A961BB">
        <w:rPr>
          <w:rFonts w:eastAsia="Batang"/>
        </w:rPr>
        <w:t xml:space="preserve">раннего рака молочной железы </w:t>
      </w:r>
      <w:r w:rsidR="00A961BB" w:rsidRPr="00A961BB">
        <w:rPr>
          <w:rFonts w:eastAsia="Batang"/>
        </w:rPr>
        <w:t xml:space="preserve">изучено </w:t>
      </w:r>
      <w:r w:rsidR="00D92D73">
        <w:rPr>
          <w:rFonts w:eastAsia="Batang"/>
        </w:rPr>
        <w:t xml:space="preserve">в составе </w:t>
      </w:r>
      <w:r w:rsidR="00A961BB" w:rsidRPr="00A961BB">
        <w:rPr>
          <w:rFonts w:eastAsia="Batang"/>
        </w:rPr>
        <w:t>следующ</w:t>
      </w:r>
      <w:r w:rsidR="00D92D73">
        <w:rPr>
          <w:rFonts w:eastAsia="Batang"/>
        </w:rPr>
        <w:t>их схем</w:t>
      </w:r>
      <w:r w:rsidR="00A961BB" w:rsidRPr="00A961BB">
        <w:rPr>
          <w:rFonts w:eastAsia="Batang"/>
        </w:rPr>
        <w:t xml:space="preserve"> лечения</w:t>
      </w:r>
      <w:r>
        <w:rPr>
          <w:rStyle w:val="CommentReference"/>
          <w:rFonts w:eastAsia="SimSun"/>
          <w:sz w:val="24"/>
          <w:szCs w:val="24"/>
          <w:lang w:eastAsia="en-US"/>
        </w:rPr>
        <w:t>:</w:t>
      </w:r>
    </w:p>
    <w:p w14:paraId="1A3EF15F" w14:textId="3D4E9108" w:rsidR="00421910" w:rsidRDefault="00421910" w:rsidP="00421910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 w:rsidRPr="00F200CA">
        <w:rPr>
          <w:rFonts w:eastAsia="Batang"/>
        </w:rPr>
        <w:t xml:space="preserve">3 </w:t>
      </w:r>
      <w:r>
        <w:rPr>
          <w:rFonts w:eastAsia="Batang"/>
        </w:rPr>
        <w:t xml:space="preserve">или 4 </w:t>
      </w:r>
      <w:r w:rsidRPr="00F200CA">
        <w:rPr>
          <w:rFonts w:eastAsia="Batang"/>
        </w:rPr>
        <w:t xml:space="preserve">цикла терапии </w:t>
      </w:r>
      <w:proofErr w:type="spellStart"/>
      <w:r w:rsidRPr="00F200CA">
        <w:rPr>
          <w:rFonts w:eastAsia="Batang"/>
        </w:rPr>
        <w:t>фторурацилом</w:t>
      </w:r>
      <w:proofErr w:type="spellEnd"/>
      <w:r w:rsidRPr="00F200CA">
        <w:rPr>
          <w:rFonts w:eastAsia="Batang"/>
        </w:rPr>
        <w:t xml:space="preserve">, </w:t>
      </w:r>
      <w:proofErr w:type="spellStart"/>
      <w:r w:rsidRPr="00F200CA">
        <w:rPr>
          <w:rFonts w:eastAsia="Batang"/>
        </w:rPr>
        <w:t>эпирубицином</w:t>
      </w:r>
      <w:proofErr w:type="spellEnd"/>
      <w:r w:rsidRPr="00F200CA">
        <w:rPr>
          <w:rFonts w:eastAsia="Batang"/>
        </w:rPr>
        <w:t xml:space="preserve"> и </w:t>
      </w:r>
      <w:proofErr w:type="spellStart"/>
      <w:r w:rsidRPr="00F200CA">
        <w:rPr>
          <w:rFonts w:eastAsia="Batang"/>
        </w:rPr>
        <w:t>циклофосфамидом</w:t>
      </w:r>
      <w:proofErr w:type="spellEnd"/>
      <w:r w:rsidR="00FD0F48">
        <w:rPr>
          <w:rFonts w:eastAsia="Batang"/>
        </w:rPr>
        <w:t xml:space="preserve"> (</w:t>
      </w:r>
      <w:r w:rsidR="00FD0F48">
        <w:rPr>
          <w:rFonts w:eastAsia="Batang"/>
          <w:lang w:val="en-US"/>
        </w:rPr>
        <w:t>FEC</w:t>
      </w:r>
      <w:r w:rsidR="00FD0F48" w:rsidRPr="00C25746">
        <w:rPr>
          <w:rFonts w:eastAsia="Batang"/>
        </w:rPr>
        <w:t>)</w:t>
      </w:r>
      <w:r>
        <w:rPr>
          <w:rFonts w:eastAsia="Batang"/>
        </w:rPr>
        <w:t xml:space="preserve"> или</w:t>
      </w:r>
      <w:r w:rsidR="006735CA" w:rsidRPr="006735CA">
        <w:rPr>
          <w:rFonts w:eastAsia="Batang"/>
        </w:rPr>
        <w:t xml:space="preserve"> </w:t>
      </w:r>
      <w:proofErr w:type="spellStart"/>
      <w:r w:rsidR="006735CA">
        <w:rPr>
          <w:rFonts w:eastAsia="Batang"/>
        </w:rPr>
        <w:t>фторурацилом</w:t>
      </w:r>
      <w:proofErr w:type="spellEnd"/>
      <w:r w:rsidR="006735CA">
        <w:rPr>
          <w:rFonts w:eastAsia="Batang"/>
        </w:rPr>
        <w:t xml:space="preserve">, </w:t>
      </w:r>
      <w:proofErr w:type="spellStart"/>
      <w:r w:rsidR="006735CA">
        <w:rPr>
          <w:rFonts w:eastAsia="Batang"/>
        </w:rPr>
        <w:t>доксорубицином</w:t>
      </w:r>
      <w:proofErr w:type="spellEnd"/>
      <w:r w:rsidR="006735CA">
        <w:rPr>
          <w:rFonts w:eastAsia="Batang"/>
        </w:rPr>
        <w:t xml:space="preserve"> и </w:t>
      </w:r>
      <w:proofErr w:type="spellStart"/>
      <w:r w:rsidR="006735CA">
        <w:rPr>
          <w:rFonts w:eastAsia="Batang"/>
        </w:rPr>
        <w:t>циклофосфамидом</w:t>
      </w:r>
      <w:proofErr w:type="spellEnd"/>
      <w:r w:rsidR="00FD0F48" w:rsidRPr="00C25746">
        <w:rPr>
          <w:rFonts w:eastAsia="Batang"/>
        </w:rPr>
        <w:t xml:space="preserve"> (</w:t>
      </w:r>
      <w:r w:rsidR="00FD0F48">
        <w:rPr>
          <w:rFonts w:eastAsia="Batang"/>
          <w:lang w:val="en-US"/>
        </w:rPr>
        <w:t>FAC</w:t>
      </w:r>
      <w:r w:rsidR="00FD0F48" w:rsidRPr="00C25746">
        <w:rPr>
          <w:rFonts w:eastAsia="Batang"/>
        </w:rPr>
        <w:t>)</w:t>
      </w:r>
      <w:r w:rsidRPr="00F200CA">
        <w:rPr>
          <w:rFonts w:eastAsia="Batang"/>
        </w:rPr>
        <w:t xml:space="preserve">, затем 3 </w:t>
      </w:r>
      <w:r>
        <w:rPr>
          <w:rFonts w:eastAsia="Batang"/>
        </w:rPr>
        <w:t xml:space="preserve">или 4 </w:t>
      </w:r>
      <w:r w:rsidRPr="00F200CA">
        <w:rPr>
          <w:rFonts w:eastAsia="Batang"/>
        </w:rPr>
        <w:t xml:space="preserve">цикла терапии </w:t>
      </w:r>
      <w:proofErr w:type="spellStart"/>
      <w:r>
        <w:rPr>
          <w:rFonts w:eastAsia="Batang"/>
        </w:rPr>
        <w:t>доцетакселом</w:t>
      </w:r>
      <w:proofErr w:type="spellEnd"/>
      <w:r>
        <w:rPr>
          <w:rFonts w:eastAsia="Batang"/>
        </w:rPr>
        <w:t xml:space="preserve"> или 12 циклов терапии </w:t>
      </w:r>
      <w:proofErr w:type="spellStart"/>
      <w:r>
        <w:rPr>
          <w:rFonts w:eastAsia="Batang"/>
        </w:rPr>
        <w:t>паклитаксел</w:t>
      </w:r>
      <w:r w:rsidR="008A5040">
        <w:rPr>
          <w:rFonts w:eastAsia="Batang"/>
        </w:rPr>
        <w:t>ом</w:t>
      </w:r>
      <w:proofErr w:type="spellEnd"/>
      <w:r>
        <w:rPr>
          <w:rFonts w:eastAsia="Batang"/>
        </w:rPr>
        <w:t xml:space="preserve"> 1 раз в неделю;</w:t>
      </w:r>
      <w:r w:rsidRPr="00F200CA">
        <w:rPr>
          <w:rFonts w:eastAsia="Batang"/>
        </w:rPr>
        <w:t xml:space="preserve"> </w:t>
      </w:r>
    </w:p>
    <w:p w14:paraId="7BBE8154" w14:textId="58EE4E68" w:rsidR="00421910" w:rsidRPr="00331FC8" w:rsidRDefault="00421910" w:rsidP="00421910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>
        <w:rPr>
          <w:rFonts w:eastAsia="Batang"/>
        </w:rPr>
        <w:t xml:space="preserve">4 </w:t>
      </w:r>
      <w:r w:rsidRPr="00F200CA">
        <w:rPr>
          <w:rFonts w:eastAsia="Batang"/>
        </w:rPr>
        <w:t xml:space="preserve">цикла терапии </w:t>
      </w:r>
      <w:proofErr w:type="spellStart"/>
      <w:r w:rsidR="007652E8">
        <w:rPr>
          <w:rFonts w:eastAsia="Batang"/>
        </w:rPr>
        <w:t>доксорубицином</w:t>
      </w:r>
      <w:proofErr w:type="spellEnd"/>
      <w:r w:rsidR="007652E8">
        <w:rPr>
          <w:rFonts w:eastAsia="Batang"/>
        </w:rPr>
        <w:t xml:space="preserve"> и </w:t>
      </w:r>
      <w:proofErr w:type="spellStart"/>
      <w:r w:rsidR="007652E8">
        <w:rPr>
          <w:rFonts w:eastAsia="Batang"/>
        </w:rPr>
        <w:t>циклофосфамидом</w:t>
      </w:r>
      <w:proofErr w:type="spellEnd"/>
      <w:r w:rsidR="007652E8">
        <w:rPr>
          <w:rFonts w:eastAsia="Batang"/>
        </w:rPr>
        <w:t xml:space="preserve"> </w:t>
      </w:r>
      <w:r w:rsidR="007652E8" w:rsidRPr="00C25746">
        <w:rPr>
          <w:rFonts w:eastAsia="Batang"/>
        </w:rPr>
        <w:t>(</w:t>
      </w:r>
      <w:r>
        <w:rPr>
          <w:rFonts w:eastAsia="Batang"/>
        </w:rPr>
        <w:t>АС</w:t>
      </w:r>
      <w:r w:rsidR="007652E8" w:rsidRPr="00C25746">
        <w:rPr>
          <w:rFonts w:eastAsia="Batang"/>
        </w:rPr>
        <w:t>)</w:t>
      </w:r>
      <w:r>
        <w:rPr>
          <w:rFonts w:eastAsia="Batang"/>
        </w:rPr>
        <w:t xml:space="preserve"> или </w:t>
      </w:r>
      <w:proofErr w:type="spellStart"/>
      <w:r w:rsidR="007652E8" w:rsidRPr="00F200CA">
        <w:rPr>
          <w:rFonts w:eastAsia="Batang"/>
        </w:rPr>
        <w:t>эпирубицином</w:t>
      </w:r>
      <w:proofErr w:type="spellEnd"/>
      <w:r w:rsidR="007652E8" w:rsidRPr="00F200CA">
        <w:rPr>
          <w:rFonts w:eastAsia="Batang"/>
        </w:rPr>
        <w:t xml:space="preserve"> и </w:t>
      </w:r>
      <w:proofErr w:type="spellStart"/>
      <w:r w:rsidR="007652E8" w:rsidRPr="00F200CA">
        <w:rPr>
          <w:rFonts w:eastAsia="Batang"/>
        </w:rPr>
        <w:t>циклофосфамидом</w:t>
      </w:r>
      <w:proofErr w:type="spellEnd"/>
      <w:r w:rsidR="007652E8">
        <w:rPr>
          <w:rFonts w:eastAsia="Batang"/>
        </w:rPr>
        <w:t xml:space="preserve"> </w:t>
      </w:r>
      <w:r w:rsidR="007652E8" w:rsidRPr="00C25746">
        <w:rPr>
          <w:rFonts w:eastAsia="Batang"/>
        </w:rPr>
        <w:t>(</w:t>
      </w:r>
      <w:r>
        <w:rPr>
          <w:rFonts w:eastAsia="Batang"/>
        </w:rPr>
        <w:t>ЕС</w:t>
      </w:r>
      <w:r w:rsidR="007652E8" w:rsidRPr="00C25746">
        <w:rPr>
          <w:rFonts w:eastAsia="Batang"/>
        </w:rPr>
        <w:t>)</w:t>
      </w:r>
      <w:r w:rsidRPr="00F200CA">
        <w:rPr>
          <w:rFonts w:eastAsia="Batang"/>
        </w:rPr>
        <w:t xml:space="preserve">, затем 3 </w:t>
      </w:r>
      <w:r>
        <w:rPr>
          <w:rFonts w:eastAsia="Batang"/>
        </w:rPr>
        <w:t xml:space="preserve">или 4 </w:t>
      </w:r>
      <w:r w:rsidRPr="00F200CA">
        <w:rPr>
          <w:rFonts w:eastAsia="Batang"/>
        </w:rPr>
        <w:t xml:space="preserve">цикла терапии </w:t>
      </w:r>
      <w:proofErr w:type="spellStart"/>
      <w:r>
        <w:rPr>
          <w:rFonts w:eastAsia="Batang"/>
        </w:rPr>
        <w:t>доцетакселом</w:t>
      </w:r>
      <w:proofErr w:type="spellEnd"/>
      <w:r>
        <w:rPr>
          <w:rFonts w:eastAsia="Batang"/>
        </w:rPr>
        <w:t xml:space="preserve"> или 12 циклов терапии </w:t>
      </w:r>
      <w:proofErr w:type="spellStart"/>
      <w:r>
        <w:rPr>
          <w:rFonts w:eastAsia="Batang"/>
        </w:rPr>
        <w:t>паклитаксел</w:t>
      </w:r>
      <w:r w:rsidR="008A5040">
        <w:rPr>
          <w:rFonts w:eastAsia="Batang"/>
        </w:rPr>
        <w:t>ом</w:t>
      </w:r>
      <w:proofErr w:type="spellEnd"/>
      <w:r>
        <w:rPr>
          <w:rFonts w:eastAsia="Batang"/>
        </w:rPr>
        <w:t xml:space="preserve"> 1 раз в неделю;</w:t>
      </w:r>
      <w:r w:rsidRPr="00F200CA">
        <w:rPr>
          <w:rFonts w:eastAsia="Batang"/>
        </w:rPr>
        <w:t xml:space="preserve"> </w:t>
      </w:r>
    </w:p>
    <w:p w14:paraId="56748014" w14:textId="77777777" w:rsidR="00421910" w:rsidRDefault="00421910" w:rsidP="00421910">
      <w:pPr>
        <w:pStyle w:val="ListParagraph"/>
        <w:numPr>
          <w:ilvl w:val="0"/>
          <w:numId w:val="52"/>
        </w:numPr>
        <w:spacing w:line="360" w:lineRule="auto"/>
        <w:rPr>
          <w:rFonts w:eastAsia="Batang"/>
        </w:rPr>
      </w:pPr>
      <w:r w:rsidRPr="00F200CA">
        <w:rPr>
          <w:rFonts w:eastAsia="Batang"/>
        </w:rPr>
        <w:t>6</w:t>
      </w:r>
      <w:r>
        <w:rPr>
          <w:rFonts w:eastAsia="Batang"/>
        </w:rPr>
        <w:t xml:space="preserve"> циклов терапии </w:t>
      </w:r>
      <w:proofErr w:type="spellStart"/>
      <w:r>
        <w:rPr>
          <w:rFonts w:eastAsia="Batang"/>
        </w:rPr>
        <w:t>доцетакселом</w:t>
      </w:r>
      <w:proofErr w:type="spellEnd"/>
      <w:r>
        <w:rPr>
          <w:rFonts w:eastAsia="Batang"/>
        </w:rPr>
        <w:t xml:space="preserve"> в комбинации с </w:t>
      </w:r>
      <w:proofErr w:type="spellStart"/>
      <w:r>
        <w:rPr>
          <w:rFonts w:eastAsia="Batang"/>
        </w:rPr>
        <w:t>карбоплатином</w:t>
      </w:r>
      <w:proofErr w:type="spellEnd"/>
      <w:r>
        <w:rPr>
          <w:rFonts w:eastAsia="Batang"/>
        </w:rPr>
        <w:t xml:space="preserve">. </w:t>
      </w:r>
    </w:p>
    <w:p w14:paraId="4387A993" w14:textId="77777777" w:rsidR="00F577D7" w:rsidRPr="0008724C" w:rsidRDefault="00166749" w:rsidP="00C957E2">
      <w:pPr>
        <w:spacing w:line="360" w:lineRule="auto"/>
        <w:rPr>
          <w:b/>
          <w:i/>
          <w:iCs/>
        </w:rPr>
      </w:pPr>
      <w:r w:rsidRPr="0008724C">
        <w:rPr>
          <w:rFonts w:eastAsia="Batang"/>
          <w:b/>
          <w:i/>
          <w:iCs/>
        </w:rPr>
        <w:t>Пропуск в плановом введении</w:t>
      </w:r>
    </w:p>
    <w:p w14:paraId="6F037D66" w14:textId="2DFB1F81" w:rsidR="00C73B7B" w:rsidRDefault="00C73B7B" w:rsidP="00C73B7B">
      <w:pPr>
        <w:spacing w:line="360" w:lineRule="auto"/>
        <w:rPr>
          <w:rFonts w:eastAsia="Batang"/>
          <w:iCs/>
        </w:rPr>
      </w:pPr>
      <w:r>
        <w:rPr>
          <w:rFonts w:eastAsia="Batang"/>
          <w:iCs/>
        </w:rPr>
        <w:t>Рекомендации в случае пропуска в плановом введен</w:t>
      </w:r>
      <w:r w:rsidR="0071266C">
        <w:rPr>
          <w:rFonts w:eastAsia="Batang"/>
          <w:iCs/>
        </w:rPr>
        <w:t>ии представлены в таблице 1</w:t>
      </w:r>
      <w:r>
        <w:rPr>
          <w:rFonts w:eastAsia="Batang"/>
          <w:iCs/>
        </w:rPr>
        <w:t>.</w:t>
      </w:r>
    </w:p>
    <w:p w14:paraId="5C907C3D" w14:textId="77777777" w:rsidR="0071266C" w:rsidRDefault="0071266C" w:rsidP="00C73B7B">
      <w:pPr>
        <w:spacing w:line="360" w:lineRule="auto"/>
        <w:rPr>
          <w:rFonts w:eastAsia="Batang"/>
          <w:iCs/>
        </w:rPr>
      </w:pPr>
    </w:p>
    <w:p w14:paraId="73EE9688" w14:textId="265A9144" w:rsidR="00C73B7B" w:rsidRDefault="00C73B7B" w:rsidP="00C73B7B">
      <w:pPr>
        <w:spacing w:line="360" w:lineRule="auto"/>
        <w:rPr>
          <w:rFonts w:eastAsia="Batang"/>
          <w:iCs/>
        </w:rPr>
      </w:pPr>
      <w:r>
        <w:rPr>
          <w:rFonts w:eastAsia="Batang"/>
          <w:iCs/>
        </w:rPr>
        <w:t>Таблица 1. Рекомендации в случае пропуска в плановом введении.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543"/>
        <w:gridCol w:w="2252"/>
        <w:gridCol w:w="2114"/>
      </w:tblGrid>
      <w:tr w:rsidR="00197517" w:rsidRPr="00DF2A21" w14:paraId="2472548A" w14:textId="59BE6349" w:rsidTr="00375219">
        <w:tc>
          <w:tcPr>
            <w:tcW w:w="2468" w:type="dxa"/>
            <w:vMerge w:val="restart"/>
          </w:tcPr>
          <w:p w14:paraId="5D1B8213" w14:textId="7CAE7C3E" w:rsidR="00197517" w:rsidRPr="00CB0512" w:rsidRDefault="00197517" w:rsidP="006B6B89">
            <w:pPr>
              <w:pStyle w:val="Style2"/>
              <w:spacing w:line="240" w:lineRule="auto"/>
            </w:pPr>
            <w:r w:rsidRPr="00CB0512">
              <w:t xml:space="preserve">Время между двумя последовательными </w:t>
            </w:r>
            <w:r w:rsidR="00D77C46">
              <w:t>введениями</w:t>
            </w:r>
          </w:p>
        </w:tc>
        <w:tc>
          <w:tcPr>
            <w:tcW w:w="2639" w:type="dxa"/>
            <w:vMerge w:val="restart"/>
          </w:tcPr>
          <w:p w14:paraId="035A0A91" w14:textId="38692B7C" w:rsidR="00197517" w:rsidRPr="00CB0512" w:rsidRDefault="00197517" w:rsidP="006B6B89">
            <w:pPr>
              <w:pStyle w:val="Style2"/>
              <w:spacing w:line="240" w:lineRule="auto"/>
            </w:pPr>
            <w:proofErr w:type="spellStart"/>
            <w:r w:rsidRPr="00CB0512">
              <w:t>Перьета</w:t>
            </w:r>
            <w:proofErr w:type="spellEnd"/>
            <w:r w:rsidRPr="00CB0512">
              <w:rPr>
                <w:vertAlign w:val="superscript"/>
              </w:rPr>
              <w:t>®</w:t>
            </w:r>
          </w:p>
        </w:tc>
        <w:tc>
          <w:tcPr>
            <w:tcW w:w="4463" w:type="dxa"/>
            <w:gridSpan w:val="2"/>
          </w:tcPr>
          <w:p w14:paraId="77F3D9DB" w14:textId="33E11C9E" w:rsidR="00197517" w:rsidRPr="00CB0512" w:rsidRDefault="00197517" w:rsidP="006B6B89">
            <w:pPr>
              <w:pStyle w:val="Style2"/>
              <w:spacing w:line="240" w:lineRule="auto"/>
            </w:pPr>
            <w:r w:rsidRPr="00CB0512">
              <w:t>Трастузумаб</w:t>
            </w:r>
          </w:p>
        </w:tc>
      </w:tr>
      <w:tr w:rsidR="00197517" w:rsidRPr="00DF2A21" w14:paraId="369B750E" w14:textId="77777777" w:rsidTr="009753E4">
        <w:tc>
          <w:tcPr>
            <w:tcW w:w="2468" w:type="dxa"/>
            <w:vMerge/>
          </w:tcPr>
          <w:p w14:paraId="6810CC75" w14:textId="783EFCE9" w:rsidR="00197517" w:rsidRPr="00CB0512" w:rsidRDefault="00197517" w:rsidP="006B6B89">
            <w:pPr>
              <w:pStyle w:val="Style2"/>
              <w:spacing w:line="240" w:lineRule="auto"/>
            </w:pPr>
          </w:p>
        </w:tc>
        <w:tc>
          <w:tcPr>
            <w:tcW w:w="2639" w:type="dxa"/>
            <w:vMerge/>
          </w:tcPr>
          <w:p w14:paraId="6780A275" w14:textId="00F3A8A7" w:rsidR="00197517" w:rsidRPr="00CB0512" w:rsidRDefault="00197517" w:rsidP="006B6B89">
            <w:pPr>
              <w:pStyle w:val="Style2"/>
              <w:spacing w:line="240" w:lineRule="auto"/>
            </w:pPr>
          </w:p>
        </w:tc>
        <w:tc>
          <w:tcPr>
            <w:tcW w:w="2291" w:type="dxa"/>
          </w:tcPr>
          <w:p w14:paraId="4CE5494E" w14:textId="26AA8D99" w:rsidR="00197517" w:rsidRPr="00CB0512" w:rsidRDefault="00197517" w:rsidP="006B6B89">
            <w:pPr>
              <w:pStyle w:val="Style2"/>
              <w:spacing w:line="240" w:lineRule="auto"/>
            </w:pPr>
            <w:r>
              <w:t>в</w:t>
            </w:r>
            <w:r w:rsidR="00D306E7">
              <w:t>/в</w:t>
            </w:r>
          </w:p>
        </w:tc>
        <w:tc>
          <w:tcPr>
            <w:tcW w:w="2172" w:type="dxa"/>
          </w:tcPr>
          <w:p w14:paraId="133A1745" w14:textId="422BD323" w:rsidR="00197517" w:rsidRDefault="00197517" w:rsidP="006B6B89">
            <w:pPr>
              <w:pStyle w:val="Style2"/>
              <w:spacing w:line="240" w:lineRule="auto"/>
            </w:pPr>
            <w:r>
              <w:t>п</w:t>
            </w:r>
            <w:r w:rsidR="00D306E7">
              <w:t>/к</w:t>
            </w:r>
          </w:p>
        </w:tc>
      </w:tr>
      <w:tr w:rsidR="00CF6728" w:rsidRPr="00DF2A21" w14:paraId="50EE4446" w14:textId="02513494" w:rsidTr="009753E4">
        <w:tc>
          <w:tcPr>
            <w:tcW w:w="2468" w:type="dxa"/>
          </w:tcPr>
          <w:p w14:paraId="5121FC03" w14:textId="74850906" w:rsidR="00CF6728" w:rsidRPr="00D95FA7" w:rsidRDefault="00A573EB" w:rsidP="006B6B89">
            <w:pPr>
              <w:pStyle w:val="Style2"/>
              <w:spacing w:line="240" w:lineRule="auto"/>
              <w:jc w:val="left"/>
            </w:pPr>
            <w:r>
              <w:t>&lt;</w:t>
            </w:r>
            <w:r w:rsidR="00CF6728" w:rsidRPr="00D95FA7">
              <w:t>6 недель</w:t>
            </w:r>
          </w:p>
        </w:tc>
        <w:tc>
          <w:tcPr>
            <w:tcW w:w="2639" w:type="dxa"/>
          </w:tcPr>
          <w:p w14:paraId="1FCDDCAD" w14:textId="77777777" w:rsidR="00CF6728" w:rsidRPr="00D95FA7" w:rsidRDefault="00CF6728" w:rsidP="006B6B89">
            <w:pPr>
              <w:pStyle w:val="Style2"/>
              <w:spacing w:line="240" w:lineRule="auto"/>
              <w:jc w:val="left"/>
            </w:pPr>
            <w:r w:rsidRPr="00D95FA7">
              <w:t>Следует как можно быстрее ввести препарат</w:t>
            </w:r>
            <w:r>
              <w:t xml:space="preserve"> в/в </w:t>
            </w:r>
            <w:proofErr w:type="spellStart"/>
            <w:r>
              <w:t>в</w:t>
            </w:r>
            <w:proofErr w:type="spellEnd"/>
            <w:r>
              <w:t xml:space="preserve"> дозе 420 мг</w:t>
            </w:r>
            <w:r w:rsidRPr="00D95FA7">
              <w:t xml:space="preserve">, не ожидая следующего планового введения. </w:t>
            </w:r>
          </w:p>
        </w:tc>
        <w:tc>
          <w:tcPr>
            <w:tcW w:w="2291" w:type="dxa"/>
          </w:tcPr>
          <w:p w14:paraId="3797ADAB" w14:textId="77777777" w:rsidR="00CF6728" w:rsidRPr="00D95FA7" w:rsidRDefault="00CF6728" w:rsidP="006B6B89">
            <w:pPr>
              <w:pStyle w:val="Style2"/>
              <w:spacing w:line="240" w:lineRule="auto"/>
              <w:jc w:val="left"/>
            </w:pPr>
            <w:r w:rsidRPr="00E14055">
              <w:t>Следует как можно быстрее ввести препарат</w:t>
            </w:r>
            <w:r>
              <w:t xml:space="preserve"> в/в </w:t>
            </w:r>
            <w:proofErr w:type="spellStart"/>
            <w:r>
              <w:t>в</w:t>
            </w:r>
            <w:proofErr w:type="spellEnd"/>
            <w:r>
              <w:t xml:space="preserve"> дозе 6 мг/кг</w:t>
            </w:r>
            <w:r w:rsidRPr="00E14055">
              <w:t xml:space="preserve">, не ожидая следующего планового введения. </w:t>
            </w:r>
          </w:p>
        </w:tc>
        <w:tc>
          <w:tcPr>
            <w:tcW w:w="2172" w:type="dxa"/>
            <w:vMerge w:val="restart"/>
          </w:tcPr>
          <w:p w14:paraId="005AB25D" w14:textId="74DA02FD" w:rsidR="00CF6728" w:rsidRPr="00E14055" w:rsidRDefault="00FA76F7" w:rsidP="006B6B89">
            <w:pPr>
              <w:pStyle w:val="Style2"/>
              <w:spacing w:line="240" w:lineRule="auto"/>
              <w:jc w:val="left"/>
            </w:pPr>
            <w:r w:rsidRPr="00E14055">
              <w:t>Следует как можно быстрее ввести препарат</w:t>
            </w:r>
            <w:r>
              <w:t xml:space="preserve"> п/к в фиксированной дозе 600 мг</w:t>
            </w:r>
            <w:r w:rsidRPr="00E14055">
              <w:t xml:space="preserve">, не </w:t>
            </w:r>
            <w:r w:rsidR="001775D3">
              <w:t>дожидаясь</w:t>
            </w:r>
            <w:r w:rsidRPr="00E14055">
              <w:t xml:space="preserve"> </w:t>
            </w:r>
            <w:r w:rsidRPr="00E14055">
              <w:lastRenderedPageBreak/>
              <w:t>следующего планового введения.</w:t>
            </w:r>
          </w:p>
        </w:tc>
      </w:tr>
      <w:tr w:rsidR="00CF6728" w:rsidRPr="00DF2A21" w14:paraId="6CE21F35" w14:textId="0078D464" w:rsidTr="009753E4">
        <w:tc>
          <w:tcPr>
            <w:tcW w:w="2468" w:type="dxa"/>
          </w:tcPr>
          <w:p w14:paraId="5FBE1263" w14:textId="2161E4B0" w:rsidR="00CF6728" w:rsidRPr="00D95FA7" w:rsidRDefault="00CF6728" w:rsidP="006B6B89">
            <w:pPr>
              <w:pStyle w:val="Style2"/>
              <w:spacing w:line="240" w:lineRule="auto"/>
              <w:jc w:val="left"/>
            </w:pPr>
            <w:r>
              <w:lastRenderedPageBreak/>
              <w:t>≥</w:t>
            </w:r>
            <w:r w:rsidRPr="00D95FA7">
              <w:t>6 недель</w:t>
            </w:r>
          </w:p>
        </w:tc>
        <w:tc>
          <w:tcPr>
            <w:tcW w:w="2639" w:type="dxa"/>
          </w:tcPr>
          <w:p w14:paraId="19D43B74" w14:textId="5AAC86E8" w:rsidR="00CF6728" w:rsidRPr="00D95FA7" w:rsidRDefault="00CF6728" w:rsidP="006B6B89">
            <w:pPr>
              <w:pStyle w:val="Style2"/>
              <w:spacing w:line="240" w:lineRule="auto"/>
              <w:jc w:val="left"/>
            </w:pPr>
            <w:r>
              <w:t>С</w:t>
            </w:r>
            <w:r w:rsidRPr="00DF2A21">
              <w:t>ледует ввести препарат в на</w:t>
            </w:r>
            <w:r>
              <w:t>грузочной</w:t>
            </w:r>
            <w:r w:rsidRPr="00DF2A21">
              <w:t xml:space="preserve"> дозе 840 мг в виде 60 минутной внутривенной капельной инфузии. Затем продолжить введение препарата в </w:t>
            </w:r>
            <w:r>
              <w:t xml:space="preserve">поддерживающей </w:t>
            </w:r>
            <w:r w:rsidRPr="00DF2A21">
              <w:t>дозе 420 мг каждые 3 недели в виде 30-60 минутной внутривенной</w:t>
            </w:r>
            <w:r>
              <w:t xml:space="preserve"> капельной</w:t>
            </w:r>
            <w:r w:rsidRPr="00DF2A21">
              <w:t xml:space="preserve"> инфузии</w:t>
            </w:r>
            <w:r w:rsidRPr="00D95FA7">
              <w:t>.</w:t>
            </w:r>
          </w:p>
        </w:tc>
        <w:tc>
          <w:tcPr>
            <w:tcW w:w="2291" w:type="dxa"/>
          </w:tcPr>
          <w:p w14:paraId="7DF9A2A9" w14:textId="6AB1AAC7" w:rsidR="00CF6728" w:rsidRPr="00D95FA7" w:rsidRDefault="00CF6728" w:rsidP="006B6B89">
            <w:pPr>
              <w:pStyle w:val="Style2"/>
              <w:spacing w:line="240" w:lineRule="auto"/>
              <w:jc w:val="left"/>
            </w:pPr>
            <w:r>
              <w:t>С</w:t>
            </w:r>
            <w:r w:rsidRPr="00DF2A21">
              <w:t>ледует ввести препарат в на</w:t>
            </w:r>
            <w:r>
              <w:t>грузочной</w:t>
            </w:r>
            <w:r w:rsidRPr="00DF2A21">
              <w:t xml:space="preserve"> дозе </w:t>
            </w:r>
            <w:r>
              <w:t>8 мг/кг</w:t>
            </w:r>
            <w:r w:rsidRPr="00DF2A21">
              <w:t xml:space="preserve"> </w:t>
            </w:r>
            <w:r>
              <w:t>в виде ~9</w:t>
            </w:r>
            <w:r w:rsidRPr="00DF2A21">
              <w:t xml:space="preserve">0 минутной внутривенной капельной инфузии. Затем продолжить введение препарата в </w:t>
            </w:r>
            <w:r>
              <w:t xml:space="preserve">поддерживающей </w:t>
            </w:r>
            <w:r w:rsidRPr="00DF2A21">
              <w:t xml:space="preserve">дозе </w:t>
            </w:r>
            <w:r>
              <w:t>6 мг/кг</w:t>
            </w:r>
            <w:r w:rsidRPr="00DF2A21">
              <w:t xml:space="preserve"> </w:t>
            </w:r>
            <w:r>
              <w:t>каждые 3 недели в виде 30-9</w:t>
            </w:r>
            <w:r w:rsidRPr="00DF2A21">
              <w:t xml:space="preserve">0 минутной </w:t>
            </w:r>
            <w:r>
              <w:t xml:space="preserve">капельной </w:t>
            </w:r>
            <w:r w:rsidRPr="00DF2A21">
              <w:t>внутривенной инфузии</w:t>
            </w:r>
            <w:r w:rsidRPr="00E14055">
              <w:t>.</w:t>
            </w:r>
          </w:p>
        </w:tc>
        <w:tc>
          <w:tcPr>
            <w:tcW w:w="2172" w:type="dxa"/>
            <w:vMerge/>
          </w:tcPr>
          <w:p w14:paraId="3678C231" w14:textId="77777777" w:rsidR="00CF6728" w:rsidRDefault="00CF6728" w:rsidP="00A573EB">
            <w:pPr>
              <w:pStyle w:val="Style2"/>
            </w:pPr>
          </w:p>
        </w:tc>
      </w:tr>
    </w:tbl>
    <w:p w14:paraId="7B8392D3" w14:textId="77777777" w:rsidR="00C73B7B" w:rsidRDefault="00C73B7B" w:rsidP="00A573EB">
      <w:pPr>
        <w:pStyle w:val="Style2"/>
        <w:rPr>
          <w:rFonts w:eastAsia="Batang"/>
          <w:iCs/>
        </w:rPr>
      </w:pPr>
    </w:p>
    <w:p w14:paraId="5F9B6937" w14:textId="77777777" w:rsidR="00F577D7" w:rsidRPr="00201BC7" w:rsidRDefault="002F08F9" w:rsidP="00C957E2">
      <w:pPr>
        <w:spacing w:line="360" w:lineRule="auto"/>
        <w:rPr>
          <w:b/>
          <w:i/>
        </w:rPr>
      </w:pPr>
      <w:r w:rsidRPr="00201BC7">
        <w:rPr>
          <w:rFonts w:eastAsia="Batang"/>
          <w:b/>
          <w:i/>
        </w:rPr>
        <w:t>Коррекция</w:t>
      </w:r>
      <w:r w:rsidR="00F577D7" w:rsidRPr="00201BC7">
        <w:rPr>
          <w:rFonts w:eastAsia="Batang"/>
          <w:b/>
          <w:i/>
        </w:rPr>
        <w:t xml:space="preserve"> дозы</w:t>
      </w:r>
    </w:p>
    <w:p w14:paraId="3ABE13F3" w14:textId="22974A78" w:rsidR="00883179" w:rsidRPr="007A66BD" w:rsidRDefault="00693BB9" w:rsidP="00C957E2">
      <w:pPr>
        <w:spacing w:line="360" w:lineRule="auto"/>
      </w:pPr>
      <w:r>
        <w:rPr>
          <w:rFonts w:eastAsia="Batang"/>
        </w:rPr>
        <w:t>Не рекомендуется с</w:t>
      </w:r>
      <w:r w:rsidR="00F577D7" w:rsidRPr="007A66BD">
        <w:rPr>
          <w:rFonts w:eastAsia="Batang"/>
        </w:rPr>
        <w:t xml:space="preserve">нижение дозы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Batang"/>
        </w:rPr>
        <w:t xml:space="preserve"> и</w:t>
      </w:r>
      <w:r w:rsidR="00883179" w:rsidRPr="007A66BD">
        <w:rPr>
          <w:rFonts w:eastAsia="Batang"/>
        </w:rPr>
        <w:t xml:space="preserve"> </w:t>
      </w:r>
      <w:r w:rsidR="00883179">
        <w:rPr>
          <w:rFonts w:eastAsia="Batang"/>
        </w:rPr>
        <w:t>трастузумаба</w:t>
      </w:r>
      <w:r w:rsidR="00883179" w:rsidRPr="007A66BD">
        <w:rPr>
          <w:rFonts w:eastAsia="Batang"/>
        </w:rPr>
        <w:t xml:space="preserve"> </w:t>
      </w:r>
      <w:r w:rsidR="00E445B1" w:rsidRPr="00D95FA7">
        <w:rPr>
          <w:rFonts w:eastAsia="Batang"/>
        </w:rPr>
        <w:t>(</w:t>
      </w:r>
      <w:r w:rsidR="00E445B1">
        <w:rPr>
          <w:rFonts w:eastAsia="Batang"/>
        </w:rPr>
        <w:t xml:space="preserve">см. </w:t>
      </w:r>
      <w:r w:rsidR="00E35AE6">
        <w:rPr>
          <w:rFonts w:eastAsia="Batang"/>
        </w:rPr>
        <w:t xml:space="preserve">соответствующую </w:t>
      </w:r>
      <w:r w:rsidR="00E445B1">
        <w:rPr>
          <w:rFonts w:eastAsia="Batang"/>
        </w:rPr>
        <w:t>инструкцию по медицинскому применению)</w:t>
      </w:r>
      <w:r w:rsidR="00883179" w:rsidRPr="007A66BD">
        <w:rPr>
          <w:rFonts w:eastAsia="Batang"/>
        </w:rPr>
        <w:t>.</w:t>
      </w:r>
    </w:p>
    <w:p w14:paraId="29102101" w14:textId="6A1F90D7" w:rsidR="00F577D7" w:rsidRPr="007A66BD" w:rsidRDefault="00AA2309" w:rsidP="00C957E2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F577D7" w:rsidRPr="007A66BD">
        <w:rPr>
          <w:rFonts w:eastAsia="Batang"/>
        </w:rPr>
        <w:t xml:space="preserve"> следует отменить в случае </w:t>
      </w:r>
      <w:r w:rsidR="00AE574F">
        <w:rPr>
          <w:rFonts w:eastAsia="Batang"/>
        </w:rPr>
        <w:t>отмены</w:t>
      </w:r>
      <w:r w:rsidR="00F577D7" w:rsidRPr="007A66BD">
        <w:rPr>
          <w:rFonts w:eastAsia="Batang"/>
        </w:rPr>
        <w:t xml:space="preserve"> </w:t>
      </w:r>
      <w:r w:rsidR="00AE574F" w:rsidRPr="007A66BD">
        <w:rPr>
          <w:rFonts w:eastAsia="Batang"/>
        </w:rPr>
        <w:t>лечени</w:t>
      </w:r>
      <w:r w:rsidR="00AE574F">
        <w:rPr>
          <w:rFonts w:eastAsia="Batang"/>
        </w:rPr>
        <w:t xml:space="preserve">я </w:t>
      </w:r>
      <w:proofErr w:type="spellStart"/>
      <w:r w:rsidR="00E856AD">
        <w:rPr>
          <w:rFonts w:eastAsia="Batang"/>
        </w:rPr>
        <w:t>трастузумаб</w:t>
      </w:r>
      <w:r w:rsidR="00B67D09">
        <w:rPr>
          <w:rFonts w:eastAsia="Batang"/>
        </w:rPr>
        <w:t>ом</w:t>
      </w:r>
      <w:proofErr w:type="spellEnd"/>
      <w:r w:rsidR="00F577D7" w:rsidRPr="007A66BD">
        <w:rPr>
          <w:rFonts w:eastAsia="Batang"/>
        </w:rPr>
        <w:t xml:space="preserve">. </w:t>
      </w:r>
    </w:p>
    <w:p w14:paraId="37C2A030" w14:textId="77777777" w:rsidR="00155594" w:rsidRDefault="00DA0737" w:rsidP="00C957E2">
      <w:pPr>
        <w:spacing w:line="360" w:lineRule="auto"/>
        <w:rPr>
          <w:rFonts w:eastAsia="Batang"/>
        </w:rPr>
      </w:pPr>
      <w:r w:rsidRPr="00DA0737">
        <w:rPr>
          <w:rFonts w:eastAsia="Batang"/>
        </w:rPr>
        <w:t xml:space="preserve">В период возникновения обратимой </w:t>
      </w:r>
      <w:proofErr w:type="spellStart"/>
      <w:r w:rsidRPr="00DA0737">
        <w:rPr>
          <w:rFonts w:eastAsia="Batang"/>
        </w:rPr>
        <w:t>миелосупрессии</w:t>
      </w:r>
      <w:proofErr w:type="spellEnd"/>
      <w:r w:rsidRPr="00DA0737">
        <w:rPr>
          <w:rFonts w:eastAsia="Batang"/>
        </w:rPr>
        <w:t>, вызванной химиотерапией, терапия может быть продолже</w:t>
      </w:r>
      <w:r w:rsidR="0008724C">
        <w:rPr>
          <w:rFonts w:eastAsia="Batang"/>
        </w:rPr>
        <w:t>на</w:t>
      </w:r>
      <w:r>
        <w:rPr>
          <w:rFonts w:eastAsia="Batang"/>
        </w:rPr>
        <w:t xml:space="preserve"> при условии тщательного кон</w:t>
      </w:r>
      <w:r w:rsidRPr="00DA0737">
        <w:rPr>
          <w:rFonts w:eastAsia="Batang"/>
        </w:rPr>
        <w:t xml:space="preserve">троля осложнений, обусловленных </w:t>
      </w:r>
      <w:proofErr w:type="spellStart"/>
      <w:r w:rsidRPr="00DA0737">
        <w:rPr>
          <w:rFonts w:eastAsia="Batang"/>
        </w:rPr>
        <w:t>нейтропенией</w:t>
      </w:r>
      <w:proofErr w:type="spellEnd"/>
      <w:r w:rsidRPr="00DA0737">
        <w:rPr>
          <w:rFonts w:eastAsia="Batang"/>
        </w:rPr>
        <w:t xml:space="preserve">. </w:t>
      </w:r>
    </w:p>
    <w:p w14:paraId="1D9BB631" w14:textId="7A6DC090" w:rsidR="00741F98" w:rsidRPr="001034DE" w:rsidRDefault="00DA0737" w:rsidP="00C957E2">
      <w:pPr>
        <w:spacing w:line="360" w:lineRule="auto"/>
        <w:rPr>
          <w:rFonts w:eastAsia="Batang"/>
        </w:rPr>
      </w:pPr>
      <w:r w:rsidRPr="001034DE">
        <w:rPr>
          <w:rFonts w:eastAsia="Batang"/>
        </w:rPr>
        <w:t xml:space="preserve">Указания по модификации дозы </w:t>
      </w:r>
      <w:r w:rsidR="00741F98" w:rsidRPr="001034DE">
        <w:rPr>
          <w:rFonts w:eastAsia="Batang"/>
        </w:rPr>
        <w:t>препаратов для химиотерапии</w:t>
      </w:r>
      <w:r w:rsidRPr="001034DE">
        <w:rPr>
          <w:rFonts w:eastAsia="Batang"/>
        </w:rPr>
        <w:t xml:space="preserve"> приводятся в инструкции по медицинскому применению </w:t>
      </w:r>
      <w:r w:rsidR="006905F6" w:rsidRPr="001034DE">
        <w:rPr>
          <w:rFonts w:eastAsia="Batang"/>
        </w:rPr>
        <w:t>указанных</w:t>
      </w:r>
      <w:r w:rsidR="00741F98" w:rsidRPr="001034DE">
        <w:rPr>
          <w:rFonts w:eastAsia="Batang"/>
        </w:rPr>
        <w:t xml:space="preserve"> препаратов</w:t>
      </w:r>
      <w:r w:rsidRPr="001034DE">
        <w:rPr>
          <w:rFonts w:eastAsia="Batang"/>
        </w:rPr>
        <w:t xml:space="preserve">. </w:t>
      </w:r>
    </w:p>
    <w:p w14:paraId="79A937F6" w14:textId="1EA0C414" w:rsidR="00F577D7" w:rsidRPr="001034DE" w:rsidRDefault="00F577D7" w:rsidP="00C957E2">
      <w:pPr>
        <w:spacing w:line="360" w:lineRule="auto"/>
        <w:rPr>
          <w:i/>
        </w:rPr>
      </w:pPr>
      <w:r w:rsidRPr="001034DE">
        <w:rPr>
          <w:rFonts w:eastAsia="Batang"/>
          <w:i/>
        </w:rPr>
        <w:t>Нарушение функции левого желудочка</w:t>
      </w:r>
      <w:r w:rsidRPr="001034DE">
        <w:rPr>
          <w:i/>
        </w:rPr>
        <w:t xml:space="preserve"> </w:t>
      </w:r>
    </w:p>
    <w:p w14:paraId="0FDED0DE" w14:textId="77777777" w:rsidR="00070FC6" w:rsidRDefault="00070FC6" w:rsidP="00C957E2">
      <w:pPr>
        <w:spacing w:line="360" w:lineRule="auto"/>
        <w:rPr>
          <w:rFonts w:eastAsia="Batang"/>
        </w:rPr>
      </w:pPr>
    </w:p>
    <w:p w14:paraId="61B8A305" w14:textId="3921068F" w:rsidR="0037154A" w:rsidRDefault="0037154A" w:rsidP="0037154A">
      <w:pPr>
        <w:suppressLineNumber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Таблица 2. Рекомендации по дозированию при </w:t>
      </w:r>
      <w:r w:rsidR="00BB1DF6">
        <w:rPr>
          <w:rFonts w:eastAsia="Batang"/>
          <w:color w:val="000000"/>
        </w:rPr>
        <w:t xml:space="preserve">нарушении функции </w:t>
      </w:r>
      <w:r>
        <w:rPr>
          <w:rFonts w:eastAsia="Batang"/>
          <w:color w:val="000000"/>
        </w:rPr>
        <w:t>левого желудочка.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036"/>
        <w:gridCol w:w="1374"/>
        <w:gridCol w:w="851"/>
        <w:gridCol w:w="1665"/>
      </w:tblGrid>
      <w:tr w:rsidR="0037154A" w:rsidRPr="0020546B" w14:paraId="23955A3F" w14:textId="77777777" w:rsidTr="00CB0512">
        <w:trPr>
          <w:trHeight w:val="2237"/>
        </w:trPr>
        <w:tc>
          <w:tcPr>
            <w:tcW w:w="2127" w:type="dxa"/>
          </w:tcPr>
          <w:p w14:paraId="0352F154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  <w:p w14:paraId="2000D652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1134" w:type="dxa"/>
          </w:tcPr>
          <w:p w14:paraId="5B2AC11C" w14:textId="77777777" w:rsidR="0037154A" w:rsidRPr="00BE7ABE" w:rsidRDefault="0037154A" w:rsidP="003A15D6">
            <w:pPr>
              <w:pStyle w:val="Paragraph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B6122">
              <w:rPr>
                <w:rFonts w:ascii="Times New Roman" w:hAnsi="Times New Roman"/>
                <w:color w:val="000000"/>
                <w:lang w:val="ru-RU"/>
              </w:rPr>
              <w:t>ФВЛЖ до начала терапии</w:t>
            </w:r>
          </w:p>
        </w:tc>
        <w:tc>
          <w:tcPr>
            <w:tcW w:w="1559" w:type="dxa"/>
          </w:tcPr>
          <w:p w14:paraId="123F3E4B" w14:textId="77777777" w:rsidR="0037154A" w:rsidRPr="00804CE4" w:rsidRDefault="0037154A" w:rsidP="003A15D6">
            <w:pPr>
              <w:suppressLineNumbers/>
              <w:jc w:val="center"/>
              <w:rPr>
                <w:rFonts w:eastAsia="Batang"/>
                <w:color w:val="000000"/>
              </w:rPr>
            </w:pPr>
            <w:proofErr w:type="spellStart"/>
            <w:r w:rsidRPr="00AB6122">
              <w:rPr>
                <w:color w:val="000000"/>
              </w:rPr>
              <w:t>Мониторинг</w:t>
            </w:r>
            <w:proofErr w:type="spellEnd"/>
            <w:r w:rsidRPr="00AB6122">
              <w:rPr>
                <w:color w:val="000000"/>
              </w:rPr>
              <w:t xml:space="preserve"> ФВЛЖ </w:t>
            </w:r>
            <w:proofErr w:type="spellStart"/>
            <w:r w:rsidRPr="00AB6122">
              <w:rPr>
                <w:color w:val="000000"/>
              </w:rPr>
              <w:t>каждые</w:t>
            </w:r>
            <w:proofErr w:type="spellEnd"/>
            <w:r w:rsidRPr="00AB6122">
              <w:rPr>
                <w:color w:val="000000"/>
              </w:rPr>
              <w:t>:</w:t>
            </w:r>
          </w:p>
        </w:tc>
        <w:tc>
          <w:tcPr>
            <w:tcW w:w="2410" w:type="dxa"/>
            <w:gridSpan w:val="2"/>
          </w:tcPr>
          <w:p w14:paraId="1F458509" w14:textId="77777777" w:rsidR="0037154A" w:rsidRPr="00804CE4" w:rsidRDefault="0037154A" w:rsidP="003A15D6">
            <w:pPr>
              <w:suppressLineNumbers/>
              <w:jc w:val="center"/>
              <w:rPr>
                <w:rFonts w:eastAsia="Batang"/>
                <w:color w:val="000000"/>
                <w:lang w:val="ru-RU"/>
              </w:rPr>
            </w:pPr>
            <w:r w:rsidRPr="00AB6122">
              <w:rPr>
                <w:color w:val="000000"/>
                <w:lang w:val="ru-RU"/>
              </w:rPr>
              <w:t xml:space="preserve">Приостановить введение препарата </w:t>
            </w:r>
            <w:proofErr w:type="spellStart"/>
            <w:r w:rsidRPr="00AB6122">
              <w:rPr>
                <w:color w:val="000000"/>
                <w:lang w:val="ru-RU"/>
              </w:rPr>
              <w:t>Перьета</w:t>
            </w:r>
            <w:proofErr w:type="spellEnd"/>
            <w:r w:rsidRPr="00804CE4">
              <w:rPr>
                <w:vertAlign w:val="superscript"/>
                <w:lang w:val="ru-RU"/>
              </w:rPr>
              <w:t>®</w:t>
            </w:r>
            <w:r w:rsidRPr="00AB6122">
              <w:rPr>
                <w:color w:val="000000"/>
                <w:lang w:val="ru-RU"/>
              </w:rPr>
              <w:t xml:space="preserve"> и трастузумаба как минимум на 3 недели в случае</w:t>
            </w:r>
            <w:r w:rsidRPr="00804CE4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снижения</w:t>
            </w:r>
            <w:r w:rsidRPr="00AB6122">
              <w:rPr>
                <w:rFonts w:eastAsia="Batang"/>
                <w:color w:val="000000"/>
                <w:lang w:val="ru-RU"/>
              </w:rPr>
              <w:t xml:space="preserve"> ФВЛЖ до уровня:</w:t>
            </w:r>
          </w:p>
        </w:tc>
        <w:tc>
          <w:tcPr>
            <w:tcW w:w="2516" w:type="dxa"/>
            <w:gridSpan w:val="2"/>
          </w:tcPr>
          <w:p w14:paraId="490D702D" w14:textId="77777777" w:rsidR="0037154A" w:rsidRPr="00E21BFB" w:rsidRDefault="0037154A" w:rsidP="003A15D6">
            <w:pPr>
              <w:suppressLineNumbers/>
              <w:jc w:val="center"/>
              <w:rPr>
                <w:rFonts w:eastAsia="Batang"/>
                <w:color w:val="000000"/>
                <w:lang w:val="ru-RU"/>
              </w:rPr>
            </w:pPr>
            <w:r w:rsidRPr="00AB6122">
              <w:rPr>
                <w:color w:val="000000"/>
                <w:lang w:val="ru-RU"/>
              </w:rPr>
              <w:t xml:space="preserve">Возобновить введение препарата </w:t>
            </w:r>
            <w:proofErr w:type="spellStart"/>
            <w:r w:rsidRPr="00AB6122">
              <w:rPr>
                <w:color w:val="000000"/>
                <w:lang w:val="ru-RU"/>
              </w:rPr>
              <w:t>Перьета</w:t>
            </w:r>
            <w:proofErr w:type="spellEnd"/>
            <w:r w:rsidRPr="00804CE4">
              <w:rPr>
                <w:vertAlign w:val="superscript"/>
                <w:lang w:val="ru-RU"/>
              </w:rPr>
              <w:t>®</w:t>
            </w:r>
            <w:r w:rsidRPr="00AB6122">
              <w:rPr>
                <w:color w:val="000000"/>
                <w:lang w:val="ru-RU"/>
              </w:rPr>
              <w:t xml:space="preserve"> и трастузумаба после 3-х недель в случае</w:t>
            </w:r>
            <w:r>
              <w:rPr>
                <w:color w:val="000000"/>
                <w:lang w:val="ru-RU"/>
              </w:rPr>
              <w:t xml:space="preserve"> восстановления</w:t>
            </w:r>
            <w:r w:rsidRPr="00804CE4">
              <w:rPr>
                <w:rFonts w:eastAsia="Batang"/>
                <w:color w:val="000000"/>
                <w:lang w:val="ru-RU"/>
              </w:rPr>
              <w:t xml:space="preserve"> </w:t>
            </w:r>
            <w:r w:rsidRPr="00AB6122">
              <w:rPr>
                <w:color w:val="000000"/>
                <w:lang w:val="ru-RU"/>
              </w:rPr>
              <w:t>ФВЛЖ до уровня:</w:t>
            </w:r>
          </w:p>
        </w:tc>
      </w:tr>
      <w:tr w:rsidR="0037154A" w:rsidRPr="0020546B" w14:paraId="0F87112A" w14:textId="77777777" w:rsidTr="00CB0512">
        <w:tc>
          <w:tcPr>
            <w:tcW w:w="2127" w:type="dxa"/>
            <w:vMerge w:val="restart"/>
          </w:tcPr>
          <w:p w14:paraId="33B3EBF1" w14:textId="77777777" w:rsidR="0037154A" w:rsidRPr="00AB6122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proofErr w:type="spellStart"/>
            <w:r w:rsidRPr="00AB6122">
              <w:rPr>
                <w:rFonts w:eastAsia="Batang"/>
                <w:color w:val="000000"/>
              </w:rPr>
              <w:t>Метастатический</w:t>
            </w:r>
            <w:proofErr w:type="spellEnd"/>
            <w:r w:rsidRPr="00AB6122">
              <w:rPr>
                <w:rFonts w:eastAsia="Batang"/>
                <w:color w:val="000000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>РМЖ</w:t>
            </w:r>
          </w:p>
        </w:tc>
        <w:tc>
          <w:tcPr>
            <w:tcW w:w="1134" w:type="dxa"/>
            <w:vMerge w:val="restart"/>
          </w:tcPr>
          <w:p w14:paraId="186F5A37" w14:textId="77777777" w:rsidR="0037154A" w:rsidRPr="00D95FA7" w:rsidRDefault="0037154A" w:rsidP="003A15D6">
            <w:pPr>
              <w:suppressLineNumbers/>
              <w:rPr>
                <w:rFonts w:cs="Arial"/>
                <w:color w:val="000000"/>
              </w:rPr>
            </w:pPr>
            <w:r w:rsidRPr="00D95FA7">
              <w:rPr>
                <w:rFonts w:cs="Arial"/>
                <w:color w:val="000000"/>
              </w:rPr>
              <w:t>≥</w:t>
            </w:r>
            <w:r w:rsidRPr="00D95FA7">
              <w:rPr>
                <w:color w:val="000000"/>
              </w:rPr>
              <w:t xml:space="preserve"> 50%</w:t>
            </w:r>
          </w:p>
        </w:tc>
        <w:tc>
          <w:tcPr>
            <w:tcW w:w="1559" w:type="dxa"/>
            <w:vMerge w:val="restart"/>
          </w:tcPr>
          <w:p w14:paraId="02E4A569" w14:textId="77777777" w:rsidR="0037154A" w:rsidRPr="00D95FA7" w:rsidRDefault="0037154A" w:rsidP="003A15D6">
            <w:pPr>
              <w:suppressLineNumbers/>
              <w:rPr>
                <w:color w:val="000000"/>
              </w:rPr>
            </w:pPr>
            <w:r w:rsidRPr="00D95FA7">
              <w:rPr>
                <w:color w:val="000000"/>
              </w:rPr>
              <w:t xml:space="preserve">~12 </w:t>
            </w:r>
            <w:proofErr w:type="spellStart"/>
            <w:r w:rsidRPr="00D95FA7"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2410" w:type="dxa"/>
            <w:gridSpan w:val="2"/>
          </w:tcPr>
          <w:p w14:paraId="18AA4DD1" w14:textId="77777777" w:rsidR="0037154A" w:rsidRPr="004F7061" w:rsidRDefault="0037154A" w:rsidP="003A15D6">
            <w:pPr>
              <w:suppressLineNumbers/>
              <w:jc w:val="center"/>
              <w:rPr>
                <w:color w:val="000000"/>
                <w:lang w:val="ru-RU"/>
              </w:rPr>
            </w:pPr>
            <w:r w:rsidRPr="004F7061">
              <w:rPr>
                <w:color w:val="000000"/>
                <w:lang w:val="ru-RU"/>
              </w:rPr>
              <w:t>в каждом из случаев ниже</w:t>
            </w:r>
          </w:p>
        </w:tc>
        <w:tc>
          <w:tcPr>
            <w:tcW w:w="2516" w:type="dxa"/>
            <w:gridSpan w:val="2"/>
          </w:tcPr>
          <w:p w14:paraId="587805E5" w14:textId="77777777" w:rsidR="0037154A" w:rsidRPr="004F7061" w:rsidRDefault="0037154A" w:rsidP="003A15D6">
            <w:pPr>
              <w:suppressLineNumbers/>
              <w:jc w:val="center"/>
              <w:rPr>
                <w:color w:val="000000"/>
                <w:lang w:val="ru-RU"/>
              </w:rPr>
            </w:pPr>
            <w:r w:rsidRPr="004F7061">
              <w:rPr>
                <w:color w:val="000000"/>
                <w:lang w:val="ru-RU"/>
              </w:rPr>
              <w:t>в каждом из случаев ниже</w:t>
            </w:r>
          </w:p>
        </w:tc>
      </w:tr>
      <w:tr w:rsidR="0037154A" w:rsidRPr="0020546B" w14:paraId="7969CC89" w14:textId="77777777" w:rsidTr="00CB0512">
        <w:tc>
          <w:tcPr>
            <w:tcW w:w="2127" w:type="dxa"/>
            <w:vMerge/>
          </w:tcPr>
          <w:p w14:paraId="4BAA2C1C" w14:textId="77777777" w:rsidR="0037154A" w:rsidRPr="00D074FE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1134" w:type="dxa"/>
            <w:vMerge/>
          </w:tcPr>
          <w:p w14:paraId="5A6AFC52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1559" w:type="dxa"/>
            <w:vMerge/>
          </w:tcPr>
          <w:p w14:paraId="555EC0EF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1036" w:type="dxa"/>
          </w:tcPr>
          <w:p w14:paraId="2F1C874A" w14:textId="77777777" w:rsidR="0037154A" w:rsidRPr="0020546B" w:rsidRDefault="0037154A" w:rsidP="003A15D6">
            <w:pPr>
              <w:suppressLineNumbers/>
              <w:rPr>
                <w:rFonts w:eastAsia="Batang"/>
                <w:color w:val="000000"/>
              </w:rPr>
            </w:pPr>
            <w:r w:rsidRPr="00D95FA7">
              <w:rPr>
                <w:color w:val="000000"/>
              </w:rPr>
              <w:t>&lt;40%</w:t>
            </w:r>
          </w:p>
        </w:tc>
        <w:tc>
          <w:tcPr>
            <w:tcW w:w="1374" w:type="dxa"/>
          </w:tcPr>
          <w:p w14:paraId="747EDC06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 w:rsidRPr="008E59BE">
              <w:rPr>
                <w:color w:val="000000"/>
                <w:lang w:val="ru-RU"/>
              </w:rPr>
              <w:t>40%-45%</w:t>
            </w:r>
            <w:r>
              <w:rPr>
                <w:rFonts w:eastAsia="Batang"/>
                <w:color w:val="000000"/>
                <w:lang w:val="ru-RU"/>
              </w:rPr>
              <w:t xml:space="preserve">, при условии, что ФВЛЖ </w:t>
            </w:r>
            <w:r>
              <w:rPr>
                <w:rFonts w:eastAsia="Batang"/>
                <w:color w:val="000000"/>
                <w:lang w:val="ru-RU"/>
              </w:rPr>
              <w:lastRenderedPageBreak/>
              <w:t>снизилась на</w:t>
            </w:r>
            <w:r w:rsidRPr="0020546B">
              <w:rPr>
                <w:rFonts w:eastAsia="Batang"/>
                <w:color w:val="000000"/>
                <w:lang w:val="ru-RU"/>
              </w:rPr>
              <w:t xml:space="preserve"> ≥10% по отношению к значениям до начала терапии</w:t>
            </w:r>
          </w:p>
        </w:tc>
        <w:tc>
          <w:tcPr>
            <w:tcW w:w="851" w:type="dxa"/>
          </w:tcPr>
          <w:p w14:paraId="41CBD095" w14:textId="77777777" w:rsidR="0037154A" w:rsidRPr="0020546B" w:rsidRDefault="0037154A" w:rsidP="003A15D6">
            <w:pPr>
              <w:suppressLineNumbers/>
              <w:rPr>
                <w:rFonts w:eastAsia="Batang"/>
                <w:color w:val="000000"/>
              </w:rPr>
            </w:pPr>
            <w:r w:rsidRPr="00D95FA7">
              <w:rPr>
                <w:color w:val="000000"/>
              </w:rPr>
              <w:lastRenderedPageBreak/>
              <w:t>&gt;45%</w:t>
            </w:r>
          </w:p>
        </w:tc>
        <w:tc>
          <w:tcPr>
            <w:tcW w:w="1665" w:type="dxa"/>
          </w:tcPr>
          <w:p w14:paraId="430DCE74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 w:rsidRPr="00C0127E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0</w:t>
            </w:r>
            <w:r w:rsidRPr="008E59BE">
              <w:rPr>
                <w:color w:val="000000"/>
                <w:lang w:val="ru-RU"/>
              </w:rPr>
              <w:t>%-45%</w:t>
            </w:r>
            <w:r>
              <w:rPr>
                <w:color w:val="000000"/>
                <w:lang w:val="ru-RU"/>
              </w:rPr>
              <w:t>,</w:t>
            </w:r>
            <w:r w:rsidRPr="0020546B">
              <w:rPr>
                <w:rFonts w:eastAsia="Batang"/>
                <w:color w:val="000000"/>
                <w:lang w:val="ru-RU"/>
              </w:rPr>
              <w:t xml:space="preserve"> </w:t>
            </w:r>
            <w:r>
              <w:rPr>
                <w:rFonts w:eastAsia="Batang"/>
                <w:color w:val="000000"/>
                <w:lang w:val="ru-RU"/>
              </w:rPr>
              <w:t xml:space="preserve">при условии, что ФВЛЖ снизилась на </w:t>
            </w:r>
            <w:r w:rsidRPr="00D95FA7">
              <w:rPr>
                <w:rFonts w:eastAsia="Batang"/>
                <w:color w:val="000000"/>
                <w:lang w:val="ru-RU"/>
              </w:rPr>
              <w:lastRenderedPageBreak/>
              <w:t xml:space="preserve">&lt;10% </w:t>
            </w:r>
            <w:r w:rsidRPr="0020546B">
              <w:rPr>
                <w:rFonts w:eastAsia="Batang"/>
                <w:color w:val="000000"/>
                <w:lang w:val="ru-RU"/>
              </w:rPr>
              <w:t>по отношению к значениям до начала терапии</w:t>
            </w:r>
          </w:p>
          <w:p w14:paraId="03B60851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</w:tr>
      <w:tr w:rsidR="0037154A" w:rsidRPr="0020546B" w14:paraId="38524932" w14:textId="77777777" w:rsidTr="00CB0512">
        <w:tc>
          <w:tcPr>
            <w:tcW w:w="2127" w:type="dxa"/>
            <w:vMerge w:val="restart"/>
          </w:tcPr>
          <w:p w14:paraId="6AD89E0D" w14:textId="77777777" w:rsidR="0037154A" w:rsidRPr="00726D25" w:rsidRDefault="0037154A" w:rsidP="003A15D6">
            <w:pPr>
              <w:suppressLineNumbers/>
              <w:rPr>
                <w:rFonts w:eastAsia="Batang"/>
                <w:color w:val="000000"/>
              </w:rPr>
            </w:pPr>
            <w:proofErr w:type="spellStart"/>
            <w:r>
              <w:rPr>
                <w:rFonts w:eastAsia="Batang"/>
                <w:color w:val="000000"/>
                <w:lang w:val="ru-RU"/>
              </w:rPr>
              <w:lastRenderedPageBreak/>
              <w:t>Неметастатический</w:t>
            </w:r>
            <w:proofErr w:type="spellEnd"/>
            <w:r>
              <w:rPr>
                <w:rFonts w:eastAsia="Batang"/>
                <w:color w:val="000000"/>
                <w:lang w:val="ru-RU"/>
              </w:rPr>
              <w:t xml:space="preserve"> РМЖ</w:t>
            </w:r>
          </w:p>
        </w:tc>
        <w:tc>
          <w:tcPr>
            <w:tcW w:w="1134" w:type="dxa"/>
            <w:vMerge w:val="restart"/>
          </w:tcPr>
          <w:p w14:paraId="13344359" w14:textId="77777777" w:rsidR="0037154A" w:rsidRPr="002C2FBB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 w:rsidRPr="00D95FA7">
              <w:rPr>
                <w:rFonts w:cs="Arial"/>
                <w:color w:val="000000"/>
              </w:rPr>
              <w:t>≥</w:t>
            </w:r>
            <w:r w:rsidRPr="00D95FA7">
              <w:rPr>
                <w:color w:val="000000"/>
              </w:rPr>
              <w:t xml:space="preserve"> 55%</w:t>
            </w:r>
            <w:r>
              <w:rPr>
                <w:color w:val="000000"/>
                <w:lang w:val="ru-RU"/>
              </w:rPr>
              <w:t>*</w:t>
            </w:r>
          </w:p>
        </w:tc>
        <w:tc>
          <w:tcPr>
            <w:tcW w:w="1559" w:type="dxa"/>
            <w:vMerge w:val="restart"/>
          </w:tcPr>
          <w:p w14:paraId="57087317" w14:textId="77777777" w:rsidR="0037154A" w:rsidRPr="002C2FBB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 w:rsidRPr="00D95FA7">
              <w:rPr>
                <w:color w:val="000000"/>
                <w:lang w:val="ru-RU"/>
              </w:rPr>
              <w:t xml:space="preserve">~12 недель (однократно во время </w:t>
            </w:r>
            <w:proofErr w:type="spellStart"/>
            <w:r w:rsidRPr="00D95FA7">
              <w:rPr>
                <w:color w:val="000000"/>
                <w:lang w:val="ru-RU"/>
              </w:rPr>
              <w:t>неоадъювантной</w:t>
            </w:r>
            <w:proofErr w:type="spellEnd"/>
            <w:r w:rsidRPr="00D95FA7">
              <w:rPr>
                <w:color w:val="000000"/>
                <w:lang w:val="ru-RU"/>
              </w:rPr>
              <w:t xml:space="preserve"> терапии)</w:t>
            </w:r>
          </w:p>
        </w:tc>
        <w:tc>
          <w:tcPr>
            <w:tcW w:w="2410" w:type="dxa"/>
            <w:gridSpan w:val="2"/>
            <w:vMerge w:val="restart"/>
          </w:tcPr>
          <w:p w14:paraId="7A341750" w14:textId="77777777" w:rsidR="0037154A" w:rsidRPr="002C2FBB" w:rsidRDefault="0037154A" w:rsidP="003A15D6">
            <w:pPr>
              <w:suppressLineNumbers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&lt;50%, при условии, что ФВЛЖ снизилась </w:t>
            </w:r>
            <w:r w:rsidRPr="0020546B">
              <w:rPr>
                <w:rFonts w:eastAsia="Batang"/>
                <w:color w:val="000000"/>
                <w:lang w:val="ru-RU"/>
              </w:rPr>
              <w:t>на ≥10% по отношению к значениям до начала терапии</w:t>
            </w:r>
          </w:p>
        </w:tc>
        <w:tc>
          <w:tcPr>
            <w:tcW w:w="2516" w:type="dxa"/>
            <w:gridSpan w:val="2"/>
          </w:tcPr>
          <w:p w14:paraId="3B6F4FB9" w14:textId="77777777" w:rsidR="0037154A" w:rsidRPr="004F7061" w:rsidRDefault="0037154A" w:rsidP="003A15D6">
            <w:pPr>
              <w:suppressLineNumbers/>
              <w:rPr>
                <w:color w:val="000000"/>
                <w:lang w:val="ru-RU"/>
              </w:rPr>
            </w:pPr>
            <w:r w:rsidRPr="004F7061">
              <w:rPr>
                <w:color w:val="000000"/>
                <w:lang w:val="ru-RU"/>
              </w:rPr>
              <w:t>в каждом из случаев ниже</w:t>
            </w:r>
          </w:p>
        </w:tc>
      </w:tr>
      <w:tr w:rsidR="0037154A" w:rsidRPr="0020546B" w14:paraId="1EDFFF3D" w14:textId="77777777" w:rsidTr="00CB0512">
        <w:tc>
          <w:tcPr>
            <w:tcW w:w="2127" w:type="dxa"/>
            <w:vMerge/>
          </w:tcPr>
          <w:p w14:paraId="47CEC699" w14:textId="77777777" w:rsidR="0037154A" w:rsidRPr="00D95FA7" w:rsidRDefault="0037154A" w:rsidP="003A15D6">
            <w:pPr>
              <w:suppressLineNumbers/>
              <w:rPr>
                <w:rFonts w:eastAsia="Batang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vMerge/>
          </w:tcPr>
          <w:p w14:paraId="62A5C7B4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1559" w:type="dxa"/>
            <w:vMerge/>
          </w:tcPr>
          <w:p w14:paraId="0CEB225B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14:paraId="3391A7FE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</w:p>
        </w:tc>
        <w:tc>
          <w:tcPr>
            <w:tcW w:w="851" w:type="dxa"/>
          </w:tcPr>
          <w:p w14:paraId="75E6982E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 w:rsidRPr="00D95FA7">
              <w:rPr>
                <w:rFonts w:cs="Arial"/>
                <w:color w:val="000000"/>
              </w:rPr>
              <w:t>≥</w:t>
            </w:r>
            <w:r w:rsidRPr="00D95FA7">
              <w:rPr>
                <w:color w:val="000000"/>
              </w:rPr>
              <w:t>50%</w:t>
            </w:r>
          </w:p>
        </w:tc>
        <w:tc>
          <w:tcPr>
            <w:tcW w:w="1665" w:type="dxa"/>
          </w:tcPr>
          <w:p w14:paraId="2A6925E8" w14:textId="77777777" w:rsidR="0037154A" w:rsidRPr="00D95FA7" w:rsidRDefault="0037154A" w:rsidP="003A15D6">
            <w:pPr>
              <w:suppressLineNumbers/>
              <w:rPr>
                <w:rFonts w:eastAsia="Batang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 условии, что ФВЛЖ снизилась на &lt;</w:t>
            </w:r>
            <w:r>
              <w:rPr>
                <w:rFonts w:eastAsia="Batang"/>
                <w:color w:val="000000"/>
                <w:lang w:val="ru-RU"/>
              </w:rPr>
              <w:t xml:space="preserve">10% </w:t>
            </w:r>
            <w:r w:rsidRPr="0020546B">
              <w:rPr>
                <w:rFonts w:eastAsia="Batang"/>
                <w:color w:val="000000"/>
                <w:lang w:val="ru-RU"/>
              </w:rPr>
              <w:t>по отношению к значениям до начала терапии</w:t>
            </w:r>
          </w:p>
        </w:tc>
      </w:tr>
    </w:tbl>
    <w:p w14:paraId="124F855B" w14:textId="7D78B793" w:rsidR="0037154A" w:rsidRPr="004573AF" w:rsidRDefault="0037154A" w:rsidP="0037154A">
      <w:pPr>
        <w:suppressLineNumbers/>
        <w:spacing w:line="360" w:lineRule="auto"/>
        <w:rPr>
          <w:color w:val="000000"/>
        </w:rPr>
      </w:pPr>
      <w:r>
        <w:rPr>
          <w:rFonts w:eastAsia="Batang"/>
          <w:color w:val="000000"/>
        </w:rPr>
        <w:t>*</w:t>
      </w:r>
      <w:r>
        <w:t xml:space="preserve">Необходимым условием начала терапии препаратом </w:t>
      </w:r>
      <w:proofErr w:type="spellStart"/>
      <w:r>
        <w:t>Перьета</w:t>
      </w:r>
      <w:proofErr w:type="spellEnd"/>
      <w:r w:rsidRPr="006E2758">
        <w:rPr>
          <w:vertAlign w:val="superscript"/>
        </w:rPr>
        <w:t>®</w:t>
      </w:r>
      <w:r>
        <w:t xml:space="preserve"> и </w:t>
      </w:r>
      <w:proofErr w:type="spellStart"/>
      <w:r>
        <w:t>трастузумабом</w:t>
      </w:r>
      <w:proofErr w:type="spellEnd"/>
      <w:r>
        <w:t xml:space="preserve"> после предшествующей химиотерапии </w:t>
      </w:r>
      <w:proofErr w:type="spellStart"/>
      <w:r>
        <w:t>антрациклинами</w:t>
      </w:r>
      <w:proofErr w:type="spellEnd"/>
      <w:r>
        <w:t xml:space="preserve"> является значение ФВЛЖ</w:t>
      </w:r>
      <w:r w:rsidR="00B23F6B">
        <w:t xml:space="preserve"> </w:t>
      </w:r>
      <w:r w:rsidRPr="002874B9">
        <w:rPr>
          <w:rFonts w:cs="Arial"/>
          <w:color w:val="000000"/>
        </w:rPr>
        <w:t>≥</w:t>
      </w:r>
      <w:r w:rsidRPr="002874B9">
        <w:rPr>
          <w:color w:val="000000"/>
        </w:rPr>
        <w:t xml:space="preserve"> 50%</w:t>
      </w:r>
      <w:r>
        <w:rPr>
          <w:color w:val="000000"/>
        </w:rPr>
        <w:t xml:space="preserve">. </w:t>
      </w:r>
    </w:p>
    <w:p w14:paraId="3DEFD46B" w14:textId="77777777" w:rsidR="00CB0512" w:rsidRPr="004573AF" w:rsidRDefault="00CB0512" w:rsidP="0037154A">
      <w:pPr>
        <w:suppressLineNumbers/>
        <w:spacing w:line="360" w:lineRule="auto"/>
        <w:rPr>
          <w:color w:val="000000"/>
        </w:rPr>
      </w:pPr>
    </w:p>
    <w:p w14:paraId="5135DD65" w14:textId="77777777" w:rsidR="00F577D7" w:rsidRPr="001034DE" w:rsidRDefault="003E6673" w:rsidP="00C957E2">
      <w:pPr>
        <w:spacing w:line="360" w:lineRule="auto"/>
        <w:rPr>
          <w:i/>
        </w:rPr>
      </w:pPr>
      <w:r w:rsidRPr="001034DE">
        <w:rPr>
          <w:rFonts w:eastAsia="Batang"/>
          <w:i/>
        </w:rPr>
        <w:t>Инфузионные реакции</w:t>
      </w:r>
    </w:p>
    <w:p w14:paraId="1A7B3B58" w14:textId="77777777" w:rsidR="00000406" w:rsidRPr="001034DE" w:rsidRDefault="00344026" w:rsidP="00C957E2">
      <w:pPr>
        <w:spacing w:line="360" w:lineRule="auto"/>
      </w:pPr>
      <w:r w:rsidRPr="001034DE">
        <w:t>С</w:t>
      </w:r>
      <w:r w:rsidR="00CA661D" w:rsidRPr="001034DE">
        <w:t>ледует</w:t>
      </w:r>
      <w:r w:rsidR="00160B99" w:rsidRPr="001034DE">
        <w:t xml:space="preserve"> уменьшить скорость инфузии или на время прекратить введение препарата</w:t>
      </w:r>
      <w:r w:rsidR="00F577D7" w:rsidRPr="001034DE">
        <w:t xml:space="preserve"> </w:t>
      </w:r>
      <w:r w:rsidRPr="001034DE">
        <w:t>п</w:t>
      </w:r>
      <w:r w:rsidR="001670FB" w:rsidRPr="001034DE">
        <w:t>ри развитии инфузионной реакции</w:t>
      </w:r>
      <w:r w:rsidR="00B246FA" w:rsidRPr="001034DE">
        <w:t>.</w:t>
      </w:r>
      <w:r w:rsidR="00000406" w:rsidRPr="001034DE">
        <w:t xml:space="preserve"> </w:t>
      </w:r>
    </w:p>
    <w:p w14:paraId="04A055AC" w14:textId="77777777" w:rsidR="00000406" w:rsidRPr="001034DE" w:rsidRDefault="00000406" w:rsidP="00C957E2">
      <w:pPr>
        <w:spacing w:line="360" w:lineRule="auto"/>
        <w:rPr>
          <w:i/>
        </w:rPr>
      </w:pPr>
      <w:r w:rsidRPr="001034DE">
        <w:rPr>
          <w:i/>
        </w:rPr>
        <w:t>Реакции гиперчувствительности/анафилаксии</w:t>
      </w:r>
    </w:p>
    <w:p w14:paraId="16034B87" w14:textId="548891BF" w:rsidR="00F577D7" w:rsidRPr="007A66BD" w:rsidRDefault="000B70D3" w:rsidP="00C957E2">
      <w:pPr>
        <w:spacing w:line="360" w:lineRule="auto"/>
      </w:pPr>
      <w:r w:rsidRPr="001034DE">
        <w:rPr>
          <w:rFonts w:eastAsia="Batang"/>
        </w:rPr>
        <w:t xml:space="preserve">Следует немедленно прервать </w:t>
      </w:r>
      <w:r w:rsidR="0087276A" w:rsidRPr="001034DE">
        <w:rPr>
          <w:rFonts w:eastAsia="Batang"/>
        </w:rPr>
        <w:t xml:space="preserve">введение препарата </w:t>
      </w:r>
      <w:r w:rsidR="0041525D" w:rsidRPr="001034DE">
        <w:rPr>
          <w:rFonts w:eastAsia="Batang"/>
        </w:rPr>
        <w:t xml:space="preserve">и полностью </w:t>
      </w:r>
      <w:r w:rsidR="0087276A" w:rsidRPr="001034DE">
        <w:rPr>
          <w:rFonts w:eastAsia="Batang"/>
        </w:rPr>
        <w:t>отменить терапию</w:t>
      </w:r>
      <w:r w:rsidR="00983313" w:rsidRPr="001034DE">
        <w:rPr>
          <w:rFonts w:eastAsia="Batang"/>
        </w:rPr>
        <w:t xml:space="preserve"> </w:t>
      </w:r>
      <w:r w:rsidR="00000406" w:rsidRPr="001034DE">
        <w:rPr>
          <w:rFonts w:eastAsia="Batang"/>
        </w:rPr>
        <w:t xml:space="preserve">в случае </w:t>
      </w:r>
      <w:r w:rsidR="001670FB" w:rsidRPr="001034DE">
        <w:rPr>
          <w:rFonts w:eastAsia="Batang"/>
        </w:rPr>
        <w:t>развити</w:t>
      </w:r>
      <w:r w:rsidR="00000406" w:rsidRPr="001034DE">
        <w:rPr>
          <w:rFonts w:eastAsia="Batang"/>
        </w:rPr>
        <w:t>я</w:t>
      </w:r>
      <w:r w:rsidR="001670FB" w:rsidRPr="001034DE">
        <w:rPr>
          <w:rFonts w:eastAsia="Batang"/>
        </w:rPr>
        <w:t xml:space="preserve"> серьезной реакции </w:t>
      </w:r>
      <w:r w:rsidR="00F577D7" w:rsidRPr="001034DE">
        <w:rPr>
          <w:rFonts w:eastAsia="Batang"/>
        </w:rPr>
        <w:t>гиперчувствительности</w:t>
      </w:r>
      <w:r w:rsidR="0041525D" w:rsidRPr="001034DE">
        <w:rPr>
          <w:rFonts w:eastAsia="Batang"/>
        </w:rPr>
        <w:t xml:space="preserve"> (например, анафилаксии)</w:t>
      </w:r>
      <w:r w:rsidR="00987203" w:rsidRPr="001034DE">
        <w:rPr>
          <w:rFonts w:eastAsia="Batang"/>
        </w:rPr>
        <w:t>.</w:t>
      </w:r>
      <w:r w:rsidR="00F577D7" w:rsidRPr="007A66BD">
        <w:rPr>
          <w:rFonts w:eastAsia="Batang"/>
        </w:rPr>
        <w:t xml:space="preserve"> </w:t>
      </w:r>
    </w:p>
    <w:p w14:paraId="17753BAF" w14:textId="77777777" w:rsidR="003E6673" w:rsidRPr="00987203" w:rsidRDefault="00BE115A" w:rsidP="00C957E2">
      <w:pPr>
        <w:spacing w:line="360" w:lineRule="auto"/>
        <w:rPr>
          <w:rFonts w:eastAsia="Batang"/>
          <w:b/>
          <w:i/>
        </w:rPr>
      </w:pPr>
      <w:r w:rsidRPr="00987203">
        <w:rPr>
          <w:rFonts w:eastAsia="Batang"/>
          <w:b/>
          <w:i/>
        </w:rPr>
        <w:t>Особые указания по дозированию</w:t>
      </w:r>
    </w:p>
    <w:p w14:paraId="077F608D" w14:textId="2AC954CE" w:rsidR="00F577D7" w:rsidRPr="00987203" w:rsidRDefault="00F577D7" w:rsidP="00C957E2">
      <w:pPr>
        <w:spacing w:line="360" w:lineRule="auto"/>
        <w:rPr>
          <w:rFonts w:eastAsia="Batang"/>
          <w:i/>
        </w:rPr>
      </w:pPr>
      <w:r w:rsidRPr="00987203">
        <w:rPr>
          <w:rFonts w:eastAsia="Batang"/>
          <w:i/>
        </w:rPr>
        <w:t xml:space="preserve">Пациенты пожилого </w:t>
      </w:r>
      <w:r w:rsidR="00972CDA" w:rsidRPr="00987203">
        <w:rPr>
          <w:rFonts w:eastAsia="Batang"/>
          <w:i/>
        </w:rPr>
        <w:t xml:space="preserve">и старческого </w:t>
      </w:r>
      <w:r w:rsidRPr="00987203">
        <w:rPr>
          <w:rFonts w:eastAsia="Batang"/>
          <w:i/>
        </w:rPr>
        <w:t>возраста</w:t>
      </w:r>
    </w:p>
    <w:p w14:paraId="3CA7A8A3" w14:textId="059F4B1C" w:rsidR="00F577D7" w:rsidRPr="007A66BD" w:rsidRDefault="00F577D7" w:rsidP="00C957E2">
      <w:pPr>
        <w:spacing w:line="360" w:lineRule="auto"/>
      </w:pPr>
      <w:r w:rsidRPr="007A66BD">
        <w:rPr>
          <w:rFonts w:eastAsia="Batang"/>
        </w:rPr>
        <w:t xml:space="preserve">Коррекция дозы </w:t>
      </w:r>
      <w:r w:rsidR="00626651" w:rsidRPr="007A66BD">
        <w:rPr>
          <w:rFonts w:eastAsia="Batang"/>
        </w:rPr>
        <w:t>у</w:t>
      </w:r>
      <w:r w:rsidRPr="007A66BD">
        <w:rPr>
          <w:rFonts w:eastAsia="Batang"/>
        </w:rPr>
        <w:t xml:space="preserve"> пациентов</w:t>
      </w:r>
      <w:r w:rsidR="007E171C">
        <w:rPr>
          <w:rFonts w:eastAsia="Batang"/>
        </w:rPr>
        <w:t xml:space="preserve"> </w:t>
      </w:r>
      <w:r w:rsidR="00F75B97">
        <w:rPr>
          <w:rFonts w:eastAsia="Batang"/>
        </w:rPr>
        <w:t>≥65 лет</w:t>
      </w:r>
      <w:r w:rsidR="00375C8A">
        <w:rPr>
          <w:rFonts w:eastAsia="Batang"/>
        </w:rPr>
        <w:t xml:space="preserve"> </w:t>
      </w:r>
      <w:r w:rsidRPr="007A66BD">
        <w:rPr>
          <w:rFonts w:eastAsia="Batang"/>
        </w:rPr>
        <w:t>не требуется.</w:t>
      </w:r>
    </w:p>
    <w:p w14:paraId="06FD3D86" w14:textId="77777777" w:rsidR="00F577D7" w:rsidRPr="00987203" w:rsidRDefault="00F577D7" w:rsidP="00C957E2">
      <w:pPr>
        <w:spacing w:line="360" w:lineRule="auto"/>
        <w:rPr>
          <w:i/>
        </w:rPr>
      </w:pPr>
      <w:r w:rsidRPr="00987203">
        <w:rPr>
          <w:rFonts w:eastAsia="Batang"/>
          <w:i/>
        </w:rPr>
        <w:t>Пациенты с нарушением функции почек</w:t>
      </w:r>
    </w:p>
    <w:p w14:paraId="3C2DFC05" w14:textId="43057018" w:rsidR="00411AB5" w:rsidRDefault="00B23F6B" w:rsidP="00C957E2">
      <w:pPr>
        <w:spacing w:line="360" w:lineRule="auto"/>
        <w:rPr>
          <w:rFonts w:eastAsia="Batang"/>
        </w:rPr>
      </w:pPr>
      <w:r w:rsidRPr="007B5284">
        <w:rPr>
          <w:rFonts w:eastAsia="Batang"/>
        </w:rPr>
        <w:t>Коррекци</w:t>
      </w:r>
      <w:r>
        <w:rPr>
          <w:rFonts w:eastAsia="Batang"/>
        </w:rPr>
        <w:t xml:space="preserve">я </w:t>
      </w:r>
      <w:r w:rsidR="007B5284" w:rsidRPr="007B5284">
        <w:rPr>
          <w:rFonts w:eastAsia="Batang"/>
        </w:rPr>
        <w:t xml:space="preserve">дозы </w:t>
      </w:r>
      <w:r w:rsidR="006C6644">
        <w:rPr>
          <w:rFonts w:eastAsia="Batang"/>
        </w:rPr>
        <w:t xml:space="preserve">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6C6644">
        <w:rPr>
          <w:rFonts w:eastAsia="Batang"/>
        </w:rPr>
        <w:t xml:space="preserve"> </w:t>
      </w:r>
      <w:r w:rsidR="007B5284" w:rsidRPr="007B5284">
        <w:rPr>
          <w:rFonts w:eastAsia="Batang"/>
        </w:rPr>
        <w:t xml:space="preserve">у пациентов с почечной </w:t>
      </w:r>
      <w:r w:rsidR="006C6644">
        <w:rPr>
          <w:rFonts w:eastAsia="Batang"/>
        </w:rPr>
        <w:t>недостаточностью легкой (КК 60-</w:t>
      </w:r>
      <w:r w:rsidR="007B5284" w:rsidRPr="007B5284">
        <w:rPr>
          <w:rFonts w:eastAsia="Batang"/>
        </w:rPr>
        <w:t>9</w:t>
      </w:r>
      <w:r w:rsidR="006C6644">
        <w:rPr>
          <w:rFonts w:eastAsia="Batang"/>
        </w:rPr>
        <w:t>0</w:t>
      </w:r>
      <w:r w:rsidR="007B5284" w:rsidRPr="007B5284">
        <w:rPr>
          <w:rFonts w:eastAsia="Batang"/>
        </w:rPr>
        <w:t xml:space="preserve"> мл/мин) и </w:t>
      </w:r>
      <w:r w:rsidR="006C6644">
        <w:rPr>
          <w:rFonts w:eastAsia="Batang"/>
        </w:rPr>
        <w:t>средней (КК 30-60</w:t>
      </w:r>
      <w:r w:rsidR="007B5284" w:rsidRPr="007B5284">
        <w:rPr>
          <w:rFonts w:eastAsia="Batang"/>
        </w:rPr>
        <w:t xml:space="preserve"> мл/мин) степени тяжести не требуется. </w:t>
      </w:r>
      <w:r w:rsidR="00332642" w:rsidRPr="00332642">
        <w:rPr>
          <w:rFonts w:eastAsia="Batang"/>
        </w:rPr>
        <w:t xml:space="preserve">Данные о фармакокинетике у пациентов с тяжелой и терминальной </w:t>
      </w:r>
      <w:r w:rsidR="00FA7876">
        <w:rPr>
          <w:rFonts w:eastAsia="Batang"/>
        </w:rPr>
        <w:t>почечной недостаточностью (КК &lt;30</w:t>
      </w:r>
      <w:r w:rsidR="00332642" w:rsidRPr="00332642">
        <w:rPr>
          <w:rFonts w:eastAsia="Batang"/>
        </w:rPr>
        <w:t xml:space="preserve"> мл/мин) ограничены, поэтому дать специальные указания по дозированию не представляется возможным. </w:t>
      </w:r>
    </w:p>
    <w:p w14:paraId="4B2A2A73" w14:textId="77777777" w:rsidR="00F577D7" w:rsidRPr="00987203" w:rsidRDefault="00F577D7" w:rsidP="00C957E2">
      <w:pPr>
        <w:spacing w:line="360" w:lineRule="auto"/>
        <w:rPr>
          <w:i/>
        </w:rPr>
      </w:pPr>
      <w:r w:rsidRPr="00987203">
        <w:rPr>
          <w:rFonts w:eastAsia="Batang"/>
          <w:i/>
        </w:rPr>
        <w:t>Пациенты с нарушением функции печени</w:t>
      </w:r>
    </w:p>
    <w:p w14:paraId="2BAB676E" w14:textId="77777777" w:rsidR="00F577D7" w:rsidRPr="007A66BD" w:rsidRDefault="00BE115A" w:rsidP="00C957E2">
      <w:pPr>
        <w:spacing w:line="360" w:lineRule="auto"/>
      </w:pPr>
      <w:r w:rsidRPr="005D657A">
        <w:rPr>
          <w:rFonts w:eastAsia="Batang"/>
        </w:rPr>
        <w:t>Э</w:t>
      </w:r>
      <w:r w:rsidR="00F577D7" w:rsidRPr="005D657A">
        <w:rPr>
          <w:rFonts w:eastAsia="Batang"/>
        </w:rPr>
        <w:t>ффективность</w:t>
      </w:r>
      <w:r w:rsidRPr="007A66BD">
        <w:rPr>
          <w:rFonts w:eastAsia="Batang"/>
        </w:rPr>
        <w:t xml:space="preserve"> и безопасность</w:t>
      </w:r>
      <w:r w:rsidR="00F577D7" w:rsidRPr="007A66BD">
        <w:rPr>
          <w:rFonts w:eastAsia="Batang"/>
        </w:rPr>
        <w:t xml:space="preserve">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F577D7" w:rsidRPr="007A66BD">
        <w:rPr>
          <w:rFonts w:eastAsia="Batang"/>
        </w:rPr>
        <w:t xml:space="preserve"> у пациентов с нарушением функции печени не изучались.</w:t>
      </w:r>
    </w:p>
    <w:p w14:paraId="69AB9EC8" w14:textId="77777777" w:rsidR="00F577D7" w:rsidRPr="00987203" w:rsidRDefault="00F577D7" w:rsidP="00C957E2">
      <w:pPr>
        <w:spacing w:line="360" w:lineRule="auto"/>
        <w:rPr>
          <w:b/>
          <w:bCs/>
          <w:i/>
        </w:rPr>
      </w:pPr>
      <w:r w:rsidRPr="00987203">
        <w:rPr>
          <w:rFonts w:eastAsia="Batang"/>
          <w:i/>
        </w:rPr>
        <w:t>Пациенты детского возраста</w:t>
      </w:r>
    </w:p>
    <w:p w14:paraId="77F744DB" w14:textId="77777777" w:rsidR="00F577D7" w:rsidRPr="007A66BD" w:rsidRDefault="00BE115A" w:rsidP="00C957E2">
      <w:pPr>
        <w:spacing w:line="360" w:lineRule="auto"/>
        <w:rPr>
          <w:rFonts w:eastAsia="Batang"/>
        </w:rPr>
      </w:pPr>
      <w:r w:rsidRPr="007A66BD">
        <w:rPr>
          <w:rFonts w:eastAsia="Batang"/>
        </w:rPr>
        <w:lastRenderedPageBreak/>
        <w:t>Э</w:t>
      </w:r>
      <w:r w:rsidR="00F577D7" w:rsidRPr="007A66BD">
        <w:rPr>
          <w:rFonts w:eastAsia="Batang"/>
        </w:rPr>
        <w:t xml:space="preserve">ффективность </w:t>
      </w:r>
      <w:r w:rsidRPr="007A66BD">
        <w:rPr>
          <w:rFonts w:eastAsia="Batang"/>
        </w:rPr>
        <w:t xml:space="preserve">и безопасность </w:t>
      </w:r>
      <w:r w:rsidR="00F577D7" w:rsidRPr="007A66BD">
        <w:rPr>
          <w:rFonts w:eastAsia="Batang"/>
        </w:rPr>
        <w:t xml:space="preserve">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F577D7" w:rsidRPr="007A66BD">
        <w:rPr>
          <w:rFonts w:eastAsia="Batang"/>
        </w:rPr>
        <w:t xml:space="preserve"> у детей и подростков в возрасте до 18 лет не установлены. </w:t>
      </w:r>
    </w:p>
    <w:p w14:paraId="64197C78" w14:textId="77777777" w:rsidR="00A504B2" w:rsidRPr="00987203" w:rsidRDefault="00842731" w:rsidP="00C957E2">
      <w:pPr>
        <w:spacing w:line="360" w:lineRule="auto"/>
        <w:rPr>
          <w:b/>
          <w:i/>
          <w:noProof/>
        </w:rPr>
      </w:pPr>
      <w:r w:rsidRPr="00987203">
        <w:rPr>
          <w:b/>
          <w:i/>
          <w:noProof/>
        </w:rPr>
        <w:t>Приготовление раствора для инфузий</w:t>
      </w:r>
    </w:p>
    <w:p w14:paraId="40C8EBA0" w14:textId="77777777" w:rsidR="0068401A" w:rsidRPr="00DD31F9" w:rsidRDefault="00FA7876" w:rsidP="00C957E2">
      <w:pPr>
        <w:spacing w:line="360" w:lineRule="auto"/>
        <w:rPr>
          <w:noProof/>
        </w:rPr>
      </w:pPr>
      <w:r>
        <w:rPr>
          <w:noProof/>
        </w:rPr>
        <w:t>Во избежание случайной ошибки</w:t>
      </w:r>
      <w:r w:rsidR="003E088A">
        <w:rPr>
          <w:noProof/>
        </w:rPr>
        <w:t xml:space="preserve"> необходимо проверить этикетку на флаконе и </w:t>
      </w:r>
      <w:r w:rsidR="006E231F">
        <w:rPr>
          <w:noProof/>
        </w:rPr>
        <w:t xml:space="preserve">убедиться, </w:t>
      </w:r>
      <w:r w:rsidR="00B9018C" w:rsidRPr="00B9018C">
        <w:rPr>
          <w:noProof/>
        </w:rPr>
        <w:t xml:space="preserve">что </w:t>
      </w:r>
      <w:r w:rsidR="00810639">
        <w:rPr>
          <w:noProof/>
        </w:rPr>
        <w:t xml:space="preserve">вы используете </w:t>
      </w:r>
      <w:r w:rsidR="008C63B1">
        <w:rPr>
          <w:noProof/>
        </w:rPr>
        <w:t>препарат</w:t>
      </w:r>
      <w:r w:rsidR="003E088A">
        <w:rPr>
          <w:noProof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3E088A" w:rsidRPr="00DD31F9">
        <w:rPr>
          <w:noProof/>
        </w:rPr>
        <w:t xml:space="preserve">. </w:t>
      </w:r>
    </w:p>
    <w:p w14:paraId="77041F68" w14:textId="77777777" w:rsidR="00027887" w:rsidRPr="00987203" w:rsidRDefault="00987203" w:rsidP="00C957E2">
      <w:pPr>
        <w:spacing w:line="360" w:lineRule="auto"/>
        <w:rPr>
          <w:i/>
          <w:noProof/>
        </w:rPr>
      </w:pPr>
      <w:r>
        <w:rPr>
          <w:i/>
          <w:noProof/>
        </w:rPr>
        <w:t xml:space="preserve">Внимание! </w:t>
      </w:r>
      <w:r w:rsidR="00027887">
        <w:rPr>
          <w:noProof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noProof/>
        </w:rPr>
        <w:t xml:space="preserve"> не совместим с 5</w:t>
      </w:r>
      <w:r w:rsidR="00027887" w:rsidRPr="007A66BD">
        <w:rPr>
          <w:noProof/>
        </w:rPr>
        <w:t xml:space="preserve">% раствором декстрозы. </w:t>
      </w:r>
      <w:r w:rsidR="00297DF8" w:rsidRPr="007A66BD">
        <w:rPr>
          <w:noProof/>
        </w:rPr>
        <w:t>Ра</w:t>
      </w:r>
      <w:r w:rsidR="00297DF8">
        <w:rPr>
          <w:noProof/>
        </w:rPr>
        <w:t xml:space="preserve">зведение </w:t>
      </w:r>
      <w:r w:rsidR="00027887" w:rsidRPr="007A66BD">
        <w:rPr>
          <w:noProof/>
        </w:rPr>
        <w:t xml:space="preserve">в таком растворе приводит к химической и физической нестабильности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027887" w:rsidRPr="007A66BD">
        <w:rPr>
          <w:noProof/>
        </w:rPr>
        <w:t xml:space="preserve">. </w:t>
      </w:r>
      <w:r w:rsidR="00235B5B">
        <w:rPr>
          <w:noProof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235B5B" w:rsidRPr="00B7082C">
        <w:rPr>
          <w:noProof/>
        </w:rPr>
        <w:t xml:space="preserve"> </w:t>
      </w:r>
      <w:r w:rsidR="00235B5B">
        <w:rPr>
          <w:noProof/>
        </w:rPr>
        <w:t xml:space="preserve">следует разводить только в 0.9% растворе натрия хлорида. </w:t>
      </w:r>
    </w:p>
    <w:p w14:paraId="7435C127" w14:textId="77777777" w:rsidR="00027887" w:rsidRPr="007A66BD" w:rsidRDefault="00027887" w:rsidP="00C957E2">
      <w:pPr>
        <w:spacing w:line="360" w:lineRule="auto"/>
        <w:rPr>
          <w:noProof/>
        </w:rPr>
      </w:pPr>
      <w:r>
        <w:rPr>
          <w:noProof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7A66BD">
        <w:rPr>
          <w:noProof/>
        </w:rPr>
        <w:t xml:space="preserve"> нельзя смешивать или разводить вместе с другими лекарственными </w:t>
      </w:r>
      <w:r w:rsidRPr="00007C81">
        <w:rPr>
          <w:noProof/>
        </w:rPr>
        <w:t>препаратами.</w:t>
      </w:r>
      <w:r w:rsidRPr="007A66BD">
        <w:rPr>
          <w:noProof/>
        </w:rPr>
        <w:t xml:space="preserve"> </w:t>
      </w:r>
    </w:p>
    <w:p w14:paraId="4D3FF66B" w14:textId="77777777" w:rsidR="00027887" w:rsidRPr="004E1A0A" w:rsidRDefault="00027887" w:rsidP="00C957E2">
      <w:pPr>
        <w:spacing w:line="360" w:lineRule="auto"/>
        <w:rPr>
          <w:noProof/>
        </w:rPr>
      </w:pPr>
      <w:r>
        <w:rPr>
          <w:noProof/>
        </w:rPr>
        <w:t>Раствор п</w:t>
      </w:r>
      <w:r w:rsidRPr="007A66BD">
        <w:rPr>
          <w:noProof/>
        </w:rPr>
        <w:t>репарат</w:t>
      </w:r>
      <w:r>
        <w:rPr>
          <w:noProof/>
        </w:rPr>
        <w:t>а</w:t>
      </w:r>
      <w:r w:rsidRPr="007A66BD">
        <w:rPr>
          <w:noProof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7A66BD">
        <w:rPr>
          <w:noProof/>
        </w:rPr>
        <w:t xml:space="preserve"> совместим с инфузионными пакетами, изготовленными из поливинилхлорида</w:t>
      </w:r>
      <w:r w:rsidR="00AE1F5B">
        <w:rPr>
          <w:noProof/>
        </w:rPr>
        <w:t xml:space="preserve"> (ПВХ)</w:t>
      </w:r>
      <w:r w:rsidRPr="00007C81">
        <w:rPr>
          <w:noProof/>
        </w:rPr>
        <w:t xml:space="preserve">, </w:t>
      </w:r>
      <w:r>
        <w:rPr>
          <w:noProof/>
        </w:rPr>
        <w:t>полиэтилена</w:t>
      </w:r>
      <w:r w:rsidRPr="007A66BD">
        <w:rPr>
          <w:noProof/>
        </w:rPr>
        <w:t xml:space="preserve"> и полио</w:t>
      </w:r>
      <w:r>
        <w:rPr>
          <w:noProof/>
        </w:rPr>
        <w:t>ле</w:t>
      </w:r>
      <w:r w:rsidRPr="007A66BD">
        <w:rPr>
          <w:noProof/>
        </w:rPr>
        <w:t>фина</w:t>
      </w:r>
      <w:r w:rsidR="00AE1F5B" w:rsidRPr="00DD31F9">
        <w:rPr>
          <w:noProof/>
        </w:rPr>
        <w:t xml:space="preserve"> (</w:t>
      </w:r>
      <w:r w:rsidR="00AE1F5B">
        <w:rPr>
          <w:noProof/>
        </w:rPr>
        <w:t>не</w:t>
      </w:r>
      <w:r w:rsidR="00940719">
        <w:rPr>
          <w:noProof/>
        </w:rPr>
        <w:t xml:space="preserve"> содержащие</w:t>
      </w:r>
      <w:r w:rsidR="00AE1F5B">
        <w:rPr>
          <w:noProof/>
        </w:rPr>
        <w:t xml:space="preserve"> ПВХ)</w:t>
      </w:r>
      <w:r w:rsidRPr="007A66BD">
        <w:rPr>
          <w:noProof/>
        </w:rPr>
        <w:t>.</w:t>
      </w:r>
      <w:r w:rsidR="00FA7876">
        <w:rPr>
          <w:noProof/>
        </w:rPr>
        <w:t xml:space="preserve"> </w:t>
      </w:r>
    </w:p>
    <w:p w14:paraId="29DD4D73" w14:textId="77777777" w:rsidR="00842731" w:rsidRPr="007A66BD" w:rsidRDefault="00842731" w:rsidP="00C957E2">
      <w:pPr>
        <w:suppressLineNumbers/>
        <w:spacing w:line="360" w:lineRule="auto"/>
        <w:rPr>
          <w:noProof/>
          <w:color w:val="000000"/>
        </w:rPr>
      </w:pPr>
      <w:r w:rsidRPr="00987203">
        <w:rPr>
          <w:i/>
          <w:noProof/>
          <w:color w:val="000000"/>
        </w:rPr>
        <w:t>Подготовка препарата к введению</w:t>
      </w:r>
      <w:r w:rsidRPr="009E2DD5">
        <w:rPr>
          <w:noProof/>
          <w:color w:val="000000"/>
        </w:rPr>
        <w:t xml:space="preserve"> должна проводиться в асептических условиях.</w:t>
      </w:r>
    </w:p>
    <w:p w14:paraId="29F101CE" w14:textId="77777777" w:rsidR="00842731" w:rsidRPr="00200294" w:rsidRDefault="00416156" w:rsidP="00C957E2">
      <w:pPr>
        <w:suppressLineNumbers/>
        <w:spacing w:line="360" w:lineRule="auto"/>
        <w:rPr>
          <w:color w:val="000000"/>
        </w:rPr>
      </w:pPr>
      <w:r>
        <w:rPr>
          <w:color w:val="000000"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842731" w:rsidRPr="007A66BD">
        <w:rPr>
          <w:color w:val="000000"/>
        </w:rPr>
        <w:t xml:space="preserve"> не содержит антимикробных консервантов. В связи с этим необходимо принять меры предосторожности для сохранения стерильности приготовленного раствора для инфузий.</w:t>
      </w:r>
      <w:r w:rsidR="00200294">
        <w:rPr>
          <w:color w:val="000000"/>
        </w:rPr>
        <w:t xml:space="preserve"> </w:t>
      </w:r>
      <w:r w:rsidR="00810639">
        <w:rPr>
          <w:color w:val="000000"/>
        </w:rPr>
        <w:t>Флакон п</w:t>
      </w:r>
      <w:r w:rsidR="00200294">
        <w:rPr>
          <w:color w:val="000000"/>
        </w:rPr>
        <w:t>репарат</w:t>
      </w:r>
      <w:r w:rsidR="00810639">
        <w:rPr>
          <w:color w:val="000000"/>
        </w:rPr>
        <w:t>а</w:t>
      </w:r>
      <w:r w:rsidR="00200294">
        <w:rPr>
          <w:color w:val="000000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200294" w:rsidRPr="00FA7876">
        <w:rPr>
          <w:color w:val="000000"/>
        </w:rPr>
        <w:t xml:space="preserve"> </w:t>
      </w:r>
      <w:r w:rsidR="00200294">
        <w:rPr>
          <w:color w:val="000000"/>
        </w:rPr>
        <w:t>предназначен для однократного использования.</w:t>
      </w:r>
      <w:r w:rsidR="00FA7876">
        <w:rPr>
          <w:color w:val="000000"/>
        </w:rPr>
        <w:t xml:space="preserve"> </w:t>
      </w:r>
    </w:p>
    <w:p w14:paraId="1DDF0B30" w14:textId="7C4BEC72" w:rsidR="00A1124E" w:rsidRDefault="00842731" w:rsidP="00C957E2">
      <w:pPr>
        <w:spacing w:line="360" w:lineRule="auto"/>
        <w:ind w:right="-2"/>
        <w:rPr>
          <w:noProof/>
          <w:color w:val="000000"/>
        </w:rPr>
      </w:pPr>
      <w:r w:rsidRPr="007A66BD">
        <w:rPr>
          <w:noProof/>
          <w:color w:val="000000"/>
        </w:rPr>
        <w:t>Из флакона</w:t>
      </w:r>
      <w:r w:rsidR="00416156">
        <w:rPr>
          <w:noProof/>
          <w:color w:val="000000"/>
        </w:rPr>
        <w:t xml:space="preserve"> (флаконов)</w:t>
      </w:r>
      <w:r w:rsidRPr="007A66BD">
        <w:rPr>
          <w:noProof/>
          <w:color w:val="000000"/>
        </w:rPr>
        <w:t xml:space="preserve"> следует отобрать </w:t>
      </w:r>
      <w:r w:rsidR="00FB0ACD">
        <w:rPr>
          <w:noProof/>
          <w:color w:val="000000"/>
        </w:rPr>
        <w:t>14 мл</w:t>
      </w:r>
      <w:r w:rsidRPr="007A66BD">
        <w:rPr>
          <w:noProof/>
          <w:color w:val="000000"/>
        </w:rPr>
        <w:t xml:space="preserve"> жидк</w:t>
      </w:r>
      <w:r w:rsidR="00FB0ACD">
        <w:rPr>
          <w:noProof/>
          <w:color w:val="000000"/>
        </w:rPr>
        <w:t>ого</w:t>
      </w:r>
      <w:r w:rsidRPr="007A66BD">
        <w:rPr>
          <w:noProof/>
          <w:color w:val="000000"/>
        </w:rPr>
        <w:t xml:space="preserve"> концентрат</w:t>
      </w:r>
      <w:r w:rsidR="00FB0ACD">
        <w:rPr>
          <w:noProof/>
          <w:color w:val="000000"/>
        </w:rPr>
        <w:t>а</w:t>
      </w:r>
      <w:r w:rsidR="007F38B3">
        <w:rPr>
          <w:noProof/>
          <w:color w:val="000000"/>
        </w:rPr>
        <w:t xml:space="preserve">, </w:t>
      </w:r>
      <w:r w:rsidR="007F38B3" w:rsidRPr="007F38B3">
        <w:rPr>
          <w:noProof/>
          <w:color w:val="000000"/>
        </w:rPr>
        <w:t>используя стерильн</w:t>
      </w:r>
      <w:r w:rsidR="00DF4499">
        <w:rPr>
          <w:noProof/>
          <w:color w:val="000000"/>
        </w:rPr>
        <w:t>ую</w:t>
      </w:r>
      <w:r w:rsidR="007F38B3" w:rsidRPr="007F38B3">
        <w:rPr>
          <w:noProof/>
          <w:color w:val="000000"/>
        </w:rPr>
        <w:t xml:space="preserve"> иглу и шприц,</w:t>
      </w:r>
      <w:r w:rsidRPr="007A66BD">
        <w:rPr>
          <w:noProof/>
          <w:color w:val="000000"/>
        </w:rPr>
        <w:t xml:space="preserve"> и ввести его в инфузионный пакет с 250 мл 0</w:t>
      </w:r>
      <w:r>
        <w:rPr>
          <w:noProof/>
          <w:color w:val="000000"/>
        </w:rPr>
        <w:t>.</w:t>
      </w:r>
      <w:r w:rsidRPr="007A66BD">
        <w:rPr>
          <w:noProof/>
          <w:color w:val="000000"/>
        </w:rPr>
        <w:t xml:space="preserve">9% раствора натрия хлорида. </w:t>
      </w:r>
      <w:r w:rsidR="00A1124E" w:rsidRPr="00C236DD">
        <w:t>Из инфузионного пакета извлекать физиологический раствор не следует.</w:t>
      </w:r>
    </w:p>
    <w:p w14:paraId="10BCF1A1" w14:textId="77777777" w:rsidR="00842731" w:rsidRDefault="0048551A" w:rsidP="00C957E2">
      <w:pPr>
        <w:spacing w:line="360" w:lineRule="auto"/>
        <w:ind w:right="-2"/>
        <w:rPr>
          <w:noProof/>
          <w:szCs w:val="22"/>
        </w:rPr>
      </w:pPr>
      <w:r>
        <w:rPr>
          <w:noProof/>
          <w:color w:val="000000"/>
        </w:rPr>
        <w:t>Номинальная к</w:t>
      </w:r>
      <w:r w:rsidR="00842731">
        <w:rPr>
          <w:noProof/>
          <w:color w:val="000000"/>
        </w:rPr>
        <w:t xml:space="preserve">онцентрация готового раствора </w:t>
      </w:r>
      <w:r w:rsidR="002F341E">
        <w:rPr>
          <w:noProof/>
          <w:color w:val="000000"/>
        </w:rPr>
        <w:t>составляет</w:t>
      </w:r>
      <w:r w:rsidR="00842731">
        <w:rPr>
          <w:noProof/>
          <w:color w:val="000000"/>
        </w:rPr>
        <w:t xml:space="preserve"> 3.</w:t>
      </w:r>
      <w:r w:rsidR="003B67AD">
        <w:rPr>
          <w:noProof/>
          <w:color w:val="000000"/>
        </w:rPr>
        <w:t>0</w:t>
      </w:r>
      <w:r w:rsidR="00842731">
        <w:rPr>
          <w:noProof/>
          <w:color w:val="000000"/>
        </w:rPr>
        <w:t xml:space="preserve"> мг/мл для нагрузочной и 1.6 мг/мл для поддерживающей доз</w:t>
      </w:r>
      <w:r w:rsidR="00987203">
        <w:rPr>
          <w:noProof/>
          <w:color w:val="000000"/>
        </w:rPr>
        <w:t>ы</w:t>
      </w:r>
      <w:r w:rsidR="00842731">
        <w:rPr>
          <w:noProof/>
          <w:color w:val="000000"/>
        </w:rPr>
        <w:t>.</w:t>
      </w:r>
    </w:p>
    <w:p w14:paraId="3B8E6203" w14:textId="77777777" w:rsidR="00842731" w:rsidRPr="007A66BD" w:rsidRDefault="00842731" w:rsidP="00C957E2">
      <w:pPr>
        <w:suppressLineNumbers/>
        <w:spacing w:line="360" w:lineRule="auto"/>
        <w:rPr>
          <w:noProof/>
          <w:color w:val="000000"/>
        </w:rPr>
      </w:pPr>
      <w:r w:rsidRPr="007A66BD">
        <w:rPr>
          <w:noProof/>
          <w:color w:val="000000"/>
        </w:rPr>
        <w:t xml:space="preserve">Затем инфузионный пакет </w:t>
      </w:r>
      <w:r>
        <w:rPr>
          <w:noProof/>
          <w:color w:val="000000"/>
        </w:rPr>
        <w:t>необходимо</w:t>
      </w:r>
      <w:r w:rsidRPr="007A66BD">
        <w:rPr>
          <w:noProof/>
          <w:color w:val="000000"/>
        </w:rPr>
        <w:t xml:space="preserve"> осторожно перевернуть для перемешивания раствора, избегая пенообразования. Перед введением </w:t>
      </w:r>
      <w:r w:rsidR="00235B5B">
        <w:rPr>
          <w:noProof/>
          <w:color w:val="000000"/>
        </w:rPr>
        <w:t>препарат</w:t>
      </w:r>
      <w:r w:rsidR="00235B5B" w:rsidRPr="007A66BD">
        <w:rPr>
          <w:noProof/>
          <w:color w:val="000000"/>
        </w:rPr>
        <w:t xml:space="preserve"> </w:t>
      </w:r>
      <w:r w:rsidRPr="007A66BD">
        <w:rPr>
          <w:noProof/>
          <w:color w:val="000000"/>
        </w:rPr>
        <w:t xml:space="preserve">следует проверить (визуально) на предмет отсутствия механических примесей и изменения окраски. Раствор для инфузий вводят тотчас после его приготовления. </w:t>
      </w:r>
      <w:r w:rsidR="0045384B">
        <w:rPr>
          <w:noProof/>
          <w:color w:val="000000"/>
        </w:rPr>
        <w:t xml:space="preserve"> </w:t>
      </w:r>
    </w:p>
    <w:p w14:paraId="6052F397" w14:textId="77777777" w:rsidR="00842731" w:rsidRPr="007A66BD" w:rsidRDefault="00842731" w:rsidP="00C957E2">
      <w:pPr>
        <w:spacing w:line="360" w:lineRule="auto"/>
        <w:rPr>
          <w:color w:val="000000"/>
        </w:rPr>
      </w:pPr>
      <w:r w:rsidRPr="00200155">
        <w:rPr>
          <w:color w:val="000000"/>
        </w:rPr>
        <w:t xml:space="preserve">В исключительных случаях </w:t>
      </w:r>
      <w:r w:rsidRPr="00FD2D94">
        <w:rPr>
          <w:color w:val="000000"/>
        </w:rPr>
        <w:t>приготовленный раствор может храниться не бол</w:t>
      </w:r>
      <w:r w:rsidR="00987203">
        <w:rPr>
          <w:color w:val="000000"/>
        </w:rPr>
        <w:t>ее 24 часов при температуре 2-</w:t>
      </w:r>
      <w:r w:rsidRPr="00FD2D94">
        <w:rPr>
          <w:color w:val="000000"/>
        </w:rPr>
        <w:t>8°C</w:t>
      </w:r>
      <w:r w:rsidRPr="00200155">
        <w:rPr>
          <w:color w:val="000000"/>
        </w:rPr>
        <w:t>, если приготовление раствора для инфузий происходило в контролированных и валидированных асептических условиях.</w:t>
      </w:r>
      <w:r w:rsidRPr="007A66BD">
        <w:rPr>
          <w:color w:val="000000"/>
        </w:rPr>
        <w:t xml:space="preserve"> </w:t>
      </w:r>
      <w:r w:rsidRPr="00C56E35">
        <w:t>При этом за условия хранения (правила хранения и продолжительность) отвечает специалист, готовивший раствор.</w:t>
      </w:r>
    </w:p>
    <w:p w14:paraId="6957D446" w14:textId="77777777" w:rsidR="008829D0" w:rsidRPr="007A66BD" w:rsidRDefault="008829D0" w:rsidP="00C957E2">
      <w:pPr>
        <w:suppressAutoHyphens/>
        <w:spacing w:line="360" w:lineRule="auto"/>
        <w:outlineLvl w:val="0"/>
        <w:rPr>
          <w:b/>
          <w:bCs/>
          <w:caps/>
          <w:kern w:val="36"/>
        </w:rPr>
      </w:pPr>
    </w:p>
    <w:p w14:paraId="69777B43" w14:textId="77777777" w:rsidR="008829D0" w:rsidRPr="007A66BD" w:rsidRDefault="008829D0" w:rsidP="00C957E2">
      <w:pPr>
        <w:suppressAutoHyphens/>
        <w:spacing w:line="360" w:lineRule="auto"/>
        <w:rPr>
          <w:b/>
          <w:bCs/>
          <w:kern w:val="36"/>
        </w:rPr>
      </w:pPr>
      <w:r w:rsidRPr="007A66BD">
        <w:rPr>
          <w:b/>
          <w:bCs/>
          <w:kern w:val="36"/>
        </w:rPr>
        <w:t>Побочное действие</w:t>
      </w:r>
    </w:p>
    <w:p w14:paraId="27C0A085" w14:textId="52D74C14" w:rsidR="00810639" w:rsidRPr="00581157" w:rsidRDefault="00810639" w:rsidP="00C957E2">
      <w:pPr>
        <w:spacing w:line="360" w:lineRule="auto"/>
        <w:rPr>
          <w:rFonts w:eastAsia="SimSun"/>
          <w:lang w:eastAsia="en-US"/>
        </w:rPr>
      </w:pPr>
      <w:r>
        <w:rPr>
          <w:rFonts w:eastAsia="SimSun"/>
          <w:lang w:eastAsia="en-US"/>
        </w:rPr>
        <w:t>При применении в комбинации с</w:t>
      </w:r>
      <w:r w:rsidR="00425CF1">
        <w:rPr>
          <w:rFonts w:eastAsia="SimSun"/>
          <w:lang w:eastAsia="en-US"/>
        </w:rPr>
        <w:t xml:space="preserve"> различными</w:t>
      </w:r>
      <w:r>
        <w:rPr>
          <w:rFonts w:eastAsia="SimSun"/>
          <w:lang w:eastAsia="en-US"/>
        </w:rPr>
        <w:t xml:space="preserve"> противоопухолевыми препаратами профиль безопасности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SimSun"/>
          <w:lang w:eastAsia="en-US"/>
        </w:rPr>
        <w:t xml:space="preserve"> </w:t>
      </w:r>
      <w:r w:rsidR="003A026D">
        <w:rPr>
          <w:rFonts w:eastAsia="SimSun"/>
          <w:lang w:eastAsia="en-US"/>
        </w:rPr>
        <w:t xml:space="preserve">в целом </w:t>
      </w:r>
      <w:r>
        <w:rPr>
          <w:rFonts w:eastAsia="SimSun"/>
          <w:lang w:eastAsia="en-US"/>
        </w:rPr>
        <w:t xml:space="preserve">остается неизменным, однако частоты и типы </w:t>
      </w:r>
      <w:r>
        <w:rPr>
          <w:rFonts w:eastAsia="SimSun"/>
          <w:lang w:eastAsia="en-US"/>
        </w:rPr>
        <w:lastRenderedPageBreak/>
        <w:t>наиболее частых нежелательных реакций отлича</w:t>
      </w:r>
      <w:r w:rsidR="00581157">
        <w:rPr>
          <w:rFonts w:eastAsia="SimSun"/>
          <w:lang w:eastAsia="en-US"/>
        </w:rPr>
        <w:t>ются от таковых при монотерапии</w:t>
      </w:r>
      <w:r>
        <w:rPr>
          <w:rFonts w:eastAsia="SimSun"/>
          <w:lang w:eastAsia="en-US"/>
        </w:rPr>
        <w:t xml:space="preserve">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581157">
        <w:t>.</w:t>
      </w:r>
    </w:p>
    <w:p w14:paraId="23DAC65D" w14:textId="5A4DDB51" w:rsidR="00711F01" w:rsidRPr="00DD31F9" w:rsidRDefault="00B145B7" w:rsidP="00C957E2">
      <w:pPr>
        <w:spacing w:line="360" w:lineRule="auto"/>
        <w:rPr>
          <w:rFonts w:eastAsia="SimSun"/>
          <w:i/>
          <w:lang w:eastAsia="en-US"/>
        </w:rPr>
      </w:pPr>
      <w:r w:rsidRPr="00DD31F9">
        <w:rPr>
          <w:rFonts w:eastAsia="SimSun"/>
          <w:i/>
          <w:lang w:eastAsia="en-US"/>
        </w:rPr>
        <w:t xml:space="preserve">Метастатический </w:t>
      </w:r>
      <w:r w:rsidR="00B60A52">
        <w:rPr>
          <w:rFonts w:eastAsia="SimSun"/>
          <w:i/>
          <w:lang w:eastAsia="en-US"/>
        </w:rPr>
        <w:t xml:space="preserve">РМЖ </w:t>
      </w:r>
      <w:r w:rsidR="00D86845">
        <w:rPr>
          <w:rFonts w:eastAsia="SimSun"/>
          <w:i/>
          <w:lang w:eastAsia="en-US"/>
        </w:rPr>
        <w:t xml:space="preserve">и </w:t>
      </w:r>
      <w:proofErr w:type="spellStart"/>
      <w:r w:rsidR="005F2311" w:rsidRPr="005F2311">
        <w:rPr>
          <w:rFonts w:eastAsia="SimSun"/>
          <w:i/>
          <w:lang w:eastAsia="en-US"/>
        </w:rPr>
        <w:t>неметастатический</w:t>
      </w:r>
      <w:proofErr w:type="spellEnd"/>
      <w:r w:rsidR="005F2311" w:rsidRPr="005F2311">
        <w:rPr>
          <w:rFonts w:eastAsia="SimSun"/>
          <w:i/>
          <w:lang w:eastAsia="en-US"/>
        </w:rPr>
        <w:t xml:space="preserve"> </w:t>
      </w:r>
      <w:r w:rsidR="00B60A52">
        <w:rPr>
          <w:rFonts w:eastAsia="SimSun"/>
          <w:i/>
          <w:lang w:eastAsia="en-US"/>
        </w:rPr>
        <w:t>РМЖ</w:t>
      </w:r>
    </w:p>
    <w:p w14:paraId="4A69FCE6" w14:textId="77777777" w:rsidR="0063499B" w:rsidRDefault="001C0E33" w:rsidP="00C957E2">
      <w:p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SimSun"/>
          <w:lang w:eastAsia="en-US"/>
        </w:rPr>
      </w:pPr>
      <w:r w:rsidRPr="005D657A">
        <w:rPr>
          <w:rFonts w:eastAsia="SimSun"/>
          <w:lang w:eastAsia="en-US"/>
        </w:rPr>
        <w:t xml:space="preserve">Ниже представлены нежелательные реакции, о которых сообщалось при </w:t>
      </w:r>
      <w:r w:rsidR="0082734B">
        <w:rPr>
          <w:rFonts w:eastAsia="SimSun"/>
          <w:lang w:eastAsia="en-US"/>
        </w:rPr>
        <w:t xml:space="preserve">изучении </w:t>
      </w:r>
      <w:r w:rsidRPr="005D657A">
        <w:rPr>
          <w:rFonts w:eastAsia="SimSun"/>
          <w:lang w:eastAsia="en-US"/>
        </w:rPr>
        <w:t xml:space="preserve">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5D657A">
        <w:rPr>
          <w:rFonts w:eastAsia="SimSun"/>
          <w:lang w:eastAsia="en-US"/>
        </w:rPr>
        <w:t xml:space="preserve"> в </w:t>
      </w:r>
      <w:r w:rsidR="0063499B">
        <w:rPr>
          <w:rFonts w:eastAsia="SimSun"/>
          <w:lang w:eastAsia="en-US"/>
        </w:rPr>
        <w:t xml:space="preserve">следующих режимах: </w:t>
      </w:r>
    </w:p>
    <w:p w14:paraId="20243E91" w14:textId="13EA7F36" w:rsidR="0063499B" w:rsidRPr="0063499B" w:rsidRDefault="0063499B" w:rsidP="00ED440B">
      <w:pPr>
        <w:pStyle w:val="ListParagraph"/>
        <w:numPr>
          <w:ilvl w:val="0"/>
          <w:numId w:val="55"/>
        </w:num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SimSun"/>
          <w:lang w:eastAsia="en-US"/>
        </w:rPr>
      </w:pPr>
      <w:r>
        <w:rPr>
          <w:rFonts w:eastAsia="SimSun"/>
          <w:lang w:eastAsia="en-US"/>
        </w:rPr>
        <w:t>в</w:t>
      </w:r>
      <w:r w:rsidRPr="0063499B">
        <w:rPr>
          <w:rFonts w:eastAsia="SimSun"/>
          <w:lang w:eastAsia="en-US"/>
        </w:rPr>
        <w:t xml:space="preserve"> </w:t>
      </w:r>
      <w:r w:rsidR="001C0E33" w:rsidRPr="0063499B">
        <w:rPr>
          <w:rFonts w:eastAsia="SimSun"/>
          <w:lang w:eastAsia="en-US"/>
        </w:rPr>
        <w:t xml:space="preserve">комбинации с </w:t>
      </w:r>
      <w:proofErr w:type="spellStart"/>
      <w:r w:rsidR="00E856AD" w:rsidRPr="0063499B">
        <w:rPr>
          <w:rFonts w:eastAsia="SimSun"/>
          <w:lang w:eastAsia="en-US"/>
        </w:rPr>
        <w:t>трастузумабом</w:t>
      </w:r>
      <w:proofErr w:type="spellEnd"/>
      <w:r w:rsidR="00987203" w:rsidRPr="0063499B">
        <w:rPr>
          <w:rFonts w:eastAsia="SimSun"/>
          <w:lang w:eastAsia="en-US"/>
        </w:rPr>
        <w:t xml:space="preserve"> </w:t>
      </w:r>
      <w:r w:rsidR="001C0E33" w:rsidRPr="0063499B">
        <w:rPr>
          <w:rFonts w:eastAsia="SimSun"/>
          <w:lang w:eastAsia="en-US"/>
        </w:rPr>
        <w:t xml:space="preserve">и </w:t>
      </w:r>
      <w:proofErr w:type="spellStart"/>
      <w:r w:rsidR="001C0E33" w:rsidRPr="0063499B">
        <w:rPr>
          <w:rFonts w:eastAsia="SimSun"/>
          <w:lang w:eastAsia="en-US"/>
        </w:rPr>
        <w:t>доцетакселом</w:t>
      </w:r>
      <w:proofErr w:type="spellEnd"/>
      <w:r w:rsidR="001F2C38" w:rsidRPr="0063499B">
        <w:rPr>
          <w:rFonts w:eastAsia="SimSun"/>
          <w:lang w:eastAsia="en-US"/>
        </w:rPr>
        <w:t xml:space="preserve"> </w:t>
      </w:r>
      <w:r w:rsidR="00C61783" w:rsidRPr="0063499B">
        <w:rPr>
          <w:rFonts w:eastAsia="SimSun"/>
          <w:lang w:eastAsia="en-US"/>
        </w:rPr>
        <w:t xml:space="preserve">при </w:t>
      </w:r>
      <w:r w:rsidR="001F2C38" w:rsidRPr="0063499B">
        <w:rPr>
          <w:rFonts w:eastAsia="SimSun"/>
          <w:lang w:eastAsia="en-US"/>
        </w:rPr>
        <w:t>м</w:t>
      </w:r>
      <w:r w:rsidR="001F2C38" w:rsidRPr="00176716">
        <w:rPr>
          <w:rFonts w:eastAsia="SimSun"/>
          <w:lang w:eastAsia="en-US"/>
        </w:rPr>
        <w:t>етастатическо</w:t>
      </w:r>
      <w:r w:rsidR="00C61783" w:rsidRPr="00176716">
        <w:rPr>
          <w:rFonts w:eastAsia="SimSun"/>
          <w:lang w:eastAsia="en-US"/>
        </w:rPr>
        <w:t>м</w:t>
      </w:r>
      <w:r w:rsidR="001F2C38" w:rsidRPr="00176716">
        <w:rPr>
          <w:rFonts w:eastAsia="SimSun"/>
          <w:lang w:eastAsia="en-US"/>
        </w:rPr>
        <w:t xml:space="preserve"> рак</w:t>
      </w:r>
      <w:r w:rsidR="00C61783" w:rsidRPr="00176716">
        <w:rPr>
          <w:rFonts w:eastAsia="SimSun"/>
          <w:lang w:eastAsia="en-US"/>
        </w:rPr>
        <w:t>е</w:t>
      </w:r>
      <w:r w:rsidR="001F2C38" w:rsidRPr="00176716">
        <w:rPr>
          <w:rFonts w:eastAsia="SimSun"/>
          <w:lang w:eastAsia="en-US"/>
        </w:rPr>
        <w:t xml:space="preserve"> молочной железы</w:t>
      </w:r>
      <w:r w:rsidR="00FB4DEC">
        <w:rPr>
          <w:rFonts w:eastAsia="SimSun"/>
          <w:lang w:eastAsia="en-US"/>
        </w:rPr>
        <w:t>;</w:t>
      </w:r>
      <w:r w:rsidR="001F2C38" w:rsidRPr="00176716">
        <w:rPr>
          <w:rFonts w:eastAsia="SimSun"/>
          <w:lang w:eastAsia="en-US"/>
        </w:rPr>
        <w:t xml:space="preserve"> </w:t>
      </w:r>
    </w:p>
    <w:p w14:paraId="04AD21E5" w14:textId="77777777" w:rsidR="00B85AE1" w:rsidRPr="00B85AE1" w:rsidRDefault="0063499B" w:rsidP="00ED440B">
      <w:pPr>
        <w:pStyle w:val="ListParagraph"/>
        <w:numPr>
          <w:ilvl w:val="0"/>
          <w:numId w:val="55"/>
        </w:num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SimSun"/>
          <w:lang w:eastAsia="en-US"/>
        </w:rPr>
      </w:pPr>
      <w:r>
        <w:rPr>
          <w:rFonts w:eastAsia="SimSun"/>
          <w:lang w:eastAsia="en-US"/>
        </w:rPr>
        <w:t>в</w:t>
      </w:r>
      <w:r w:rsidR="00082A21" w:rsidRPr="0063499B">
        <w:rPr>
          <w:rFonts w:eastAsia="SimSun"/>
          <w:lang w:eastAsia="en-US"/>
        </w:rPr>
        <w:t xml:space="preserve"> </w:t>
      </w:r>
      <w:r w:rsidR="00674077" w:rsidRPr="0063499B">
        <w:rPr>
          <w:rFonts w:eastAsia="SimSun"/>
          <w:lang w:eastAsia="en-US"/>
        </w:rPr>
        <w:t>комбин</w:t>
      </w:r>
      <w:r w:rsidR="00674077" w:rsidRPr="00176716">
        <w:rPr>
          <w:rFonts w:eastAsia="SimSun"/>
          <w:lang w:eastAsia="en-US"/>
        </w:rPr>
        <w:t xml:space="preserve">ации с </w:t>
      </w:r>
      <w:proofErr w:type="spellStart"/>
      <w:r w:rsidR="00674077" w:rsidRPr="00176716">
        <w:rPr>
          <w:rFonts w:eastAsia="SimSun"/>
          <w:lang w:eastAsia="en-US"/>
        </w:rPr>
        <w:t>трастузумабом</w:t>
      </w:r>
      <w:proofErr w:type="spellEnd"/>
      <w:r w:rsidR="00674077" w:rsidRPr="00176716">
        <w:rPr>
          <w:rFonts w:eastAsia="SimSun"/>
          <w:lang w:eastAsia="en-US"/>
        </w:rPr>
        <w:t xml:space="preserve"> и химиотерапевтическими препаратами в </w:t>
      </w:r>
      <w:r w:rsidR="00082A21" w:rsidRPr="00176716">
        <w:rPr>
          <w:rFonts w:eastAsia="SimSun"/>
          <w:lang w:eastAsia="en-US"/>
        </w:rPr>
        <w:t>качестве</w:t>
      </w:r>
      <w:r w:rsidR="001F2C38" w:rsidRPr="00176716">
        <w:rPr>
          <w:rFonts w:eastAsia="SimSun"/>
          <w:lang w:eastAsia="en-US"/>
        </w:rPr>
        <w:t xml:space="preserve"> </w:t>
      </w:r>
      <w:proofErr w:type="spellStart"/>
      <w:r w:rsidR="001F2C38" w:rsidRPr="00176716">
        <w:rPr>
          <w:rFonts w:eastAsia="SimSun"/>
          <w:lang w:eastAsia="en-US"/>
        </w:rPr>
        <w:t>неоадъюван</w:t>
      </w:r>
      <w:r w:rsidR="001F2C38" w:rsidRPr="006C71D9">
        <w:rPr>
          <w:rFonts w:eastAsia="SimSun"/>
          <w:lang w:eastAsia="en-US"/>
        </w:rPr>
        <w:t>тной</w:t>
      </w:r>
      <w:proofErr w:type="spellEnd"/>
      <w:r w:rsidR="001F2C38" w:rsidRPr="006C71D9">
        <w:rPr>
          <w:rFonts w:eastAsia="SimSun"/>
          <w:lang w:eastAsia="en-US"/>
        </w:rPr>
        <w:t xml:space="preserve"> т</w:t>
      </w:r>
      <w:r w:rsidR="001F2C38" w:rsidRPr="004A287B">
        <w:rPr>
          <w:rFonts w:eastAsia="SimSun"/>
          <w:lang w:eastAsia="en-US"/>
        </w:rPr>
        <w:t>ерапии местно</w:t>
      </w:r>
      <w:r w:rsidR="00D8442D" w:rsidRPr="004A287B">
        <w:rPr>
          <w:rFonts w:eastAsia="SimSun"/>
          <w:lang w:eastAsia="en-US"/>
        </w:rPr>
        <w:t>-</w:t>
      </w:r>
      <w:r w:rsidR="00581157" w:rsidRPr="00FE3949">
        <w:rPr>
          <w:rFonts w:eastAsia="SimSun"/>
          <w:lang w:eastAsia="en-US"/>
        </w:rPr>
        <w:t>распростране</w:t>
      </w:r>
      <w:r w:rsidR="001F2C38" w:rsidRPr="00FE3949">
        <w:rPr>
          <w:rFonts w:eastAsia="SimSun"/>
          <w:lang w:eastAsia="en-US"/>
        </w:rPr>
        <w:t xml:space="preserve">нного, </w:t>
      </w:r>
      <w:r w:rsidR="00AA3A5E" w:rsidRPr="00FE3949">
        <w:rPr>
          <w:rFonts w:eastAsia="SimSun"/>
          <w:lang w:eastAsia="en-US"/>
        </w:rPr>
        <w:t xml:space="preserve">отечно-инфильтративного </w:t>
      </w:r>
      <w:r w:rsidR="001F2C38" w:rsidRPr="0033566C">
        <w:rPr>
          <w:rFonts w:eastAsia="SimSun"/>
          <w:lang w:eastAsia="en-US"/>
        </w:rPr>
        <w:t>или раннего рака молочной железы</w:t>
      </w:r>
      <w:r w:rsidR="00FB4DEC">
        <w:rPr>
          <w:rFonts w:eastAsia="SimSun"/>
          <w:lang w:eastAsia="en-US"/>
        </w:rPr>
        <w:t>;</w:t>
      </w:r>
    </w:p>
    <w:p w14:paraId="13B7FCE4" w14:textId="0F107034" w:rsidR="00DF7339" w:rsidRPr="0063499B" w:rsidRDefault="00B85AE1" w:rsidP="00ED440B">
      <w:pPr>
        <w:pStyle w:val="ListParagraph"/>
        <w:numPr>
          <w:ilvl w:val="0"/>
          <w:numId w:val="55"/>
        </w:num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 </w:t>
      </w:r>
      <w:r w:rsidR="0063499B">
        <w:rPr>
          <w:rFonts w:eastAsia="SimSun"/>
          <w:lang w:eastAsia="en-US"/>
        </w:rPr>
        <w:t>в</w:t>
      </w:r>
      <w:r w:rsidR="00DF7339" w:rsidRPr="0063499B">
        <w:rPr>
          <w:rFonts w:eastAsia="SimSun"/>
          <w:lang w:eastAsia="en-US"/>
        </w:rPr>
        <w:t xml:space="preserve"> комбинации с </w:t>
      </w:r>
      <w:proofErr w:type="spellStart"/>
      <w:r w:rsidR="00DF7339" w:rsidRPr="0063499B">
        <w:rPr>
          <w:rFonts w:eastAsia="SimSun"/>
          <w:lang w:eastAsia="en-US"/>
        </w:rPr>
        <w:t>трастузу</w:t>
      </w:r>
      <w:r w:rsidR="00DF7339" w:rsidRPr="00176716">
        <w:rPr>
          <w:rFonts w:eastAsia="SimSun"/>
          <w:lang w:eastAsia="en-US"/>
        </w:rPr>
        <w:t>мабом</w:t>
      </w:r>
      <w:proofErr w:type="spellEnd"/>
      <w:r w:rsidR="00177E9A" w:rsidRPr="00176716">
        <w:rPr>
          <w:rFonts w:eastAsia="SimSun"/>
          <w:lang w:eastAsia="en-US"/>
        </w:rPr>
        <w:t xml:space="preserve"> и</w:t>
      </w:r>
      <w:r w:rsidR="00DF7339" w:rsidRPr="00176716">
        <w:rPr>
          <w:rFonts w:eastAsia="SimSun"/>
          <w:lang w:eastAsia="en-US"/>
        </w:rPr>
        <w:t xml:space="preserve"> </w:t>
      </w:r>
      <w:r w:rsidR="003C5A45" w:rsidRPr="00176716">
        <w:rPr>
          <w:rFonts w:eastAsia="SimSun"/>
          <w:lang w:eastAsia="en-US"/>
        </w:rPr>
        <w:t xml:space="preserve">химиотерапией </w:t>
      </w:r>
      <w:r w:rsidR="00FE3949" w:rsidRPr="002A44E8">
        <w:rPr>
          <w:rStyle w:val="CommentReference"/>
          <w:rFonts w:eastAsia="SimSun"/>
          <w:sz w:val="24"/>
          <w:szCs w:val="24"/>
          <w:lang w:eastAsia="en-US"/>
        </w:rPr>
        <w:t xml:space="preserve">на основе </w:t>
      </w:r>
      <w:proofErr w:type="spellStart"/>
      <w:r w:rsidR="00FE3949">
        <w:rPr>
          <w:rStyle w:val="CommentReference"/>
          <w:rFonts w:eastAsia="SimSun"/>
          <w:sz w:val="24"/>
          <w:szCs w:val="24"/>
          <w:lang w:eastAsia="en-US"/>
        </w:rPr>
        <w:t>таксана</w:t>
      </w:r>
      <w:proofErr w:type="spellEnd"/>
      <w:r w:rsidR="00FE3949">
        <w:rPr>
          <w:rStyle w:val="CommentReference"/>
          <w:rFonts w:eastAsia="SimSun"/>
          <w:sz w:val="24"/>
          <w:szCs w:val="24"/>
          <w:lang w:eastAsia="en-US"/>
        </w:rPr>
        <w:t xml:space="preserve"> в сочетании с </w:t>
      </w:r>
      <w:proofErr w:type="spellStart"/>
      <w:r w:rsidR="00FE3949">
        <w:rPr>
          <w:rStyle w:val="CommentReference"/>
          <w:rFonts w:eastAsia="SimSun"/>
          <w:sz w:val="24"/>
          <w:szCs w:val="24"/>
          <w:lang w:eastAsia="en-US"/>
        </w:rPr>
        <w:t>антр</w:t>
      </w:r>
      <w:r w:rsidR="00F61E85">
        <w:rPr>
          <w:rStyle w:val="CommentReference"/>
          <w:rFonts w:eastAsia="SimSun"/>
          <w:sz w:val="24"/>
          <w:szCs w:val="24"/>
          <w:lang w:eastAsia="en-US"/>
        </w:rPr>
        <w:t>а</w:t>
      </w:r>
      <w:r w:rsidR="00FE3949">
        <w:rPr>
          <w:rStyle w:val="CommentReference"/>
          <w:rFonts w:eastAsia="SimSun"/>
          <w:sz w:val="24"/>
          <w:szCs w:val="24"/>
          <w:lang w:eastAsia="en-US"/>
        </w:rPr>
        <w:t>циклин</w:t>
      </w:r>
      <w:proofErr w:type="spellEnd"/>
      <w:r w:rsidR="00FE3949">
        <w:rPr>
          <w:rStyle w:val="CommentReference"/>
          <w:rFonts w:eastAsia="SimSun"/>
          <w:sz w:val="24"/>
          <w:szCs w:val="24"/>
          <w:lang w:eastAsia="en-US"/>
        </w:rPr>
        <w:t xml:space="preserve">-содержащим режимом или без него </w:t>
      </w:r>
      <w:r w:rsidR="00DF7339" w:rsidRPr="0063499B">
        <w:rPr>
          <w:rFonts w:eastAsia="SimSun"/>
          <w:lang w:eastAsia="en-US"/>
        </w:rPr>
        <w:t xml:space="preserve">в качестве </w:t>
      </w:r>
      <w:proofErr w:type="spellStart"/>
      <w:r w:rsidR="00DF7339" w:rsidRPr="0063499B">
        <w:rPr>
          <w:rFonts w:eastAsia="SimSun"/>
          <w:lang w:eastAsia="en-US"/>
        </w:rPr>
        <w:t>адъювантной</w:t>
      </w:r>
      <w:proofErr w:type="spellEnd"/>
      <w:r w:rsidR="00DF7339" w:rsidRPr="0063499B">
        <w:rPr>
          <w:rFonts w:eastAsia="SimSun"/>
          <w:lang w:eastAsia="en-US"/>
        </w:rPr>
        <w:t xml:space="preserve"> терапии раннего рака молоч</w:t>
      </w:r>
      <w:r w:rsidR="00DF7339" w:rsidRPr="00176716">
        <w:rPr>
          <w:rFonts w:eastAsia="SimSun"/>
          <w:lang w:eastAsia="en-US"/>
        </w:rPr>
        <w:t>ной железы</w:t>
      </w:r>
      <w:r w:rsidR="001C0E33" w:rsidRPr="00176716">
        <w:rPr>
          <w:rFonts w:eastAsia="SimSun"/>
          <w:lang w:eastAsia="en-US"/>
        </w:rPr>
        <w:t xml:space="preserve">. </w:t>
      </w:r>
    </w:p>
    <w:p w14:paraId="68DC9078" w14:textId="42AA21E2" w:rsidR="00B327C4" w:rsidRDefault="001C0E33" w:rsidP="00C957E2">
      <w:p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SimSun"/>
          <w:lang w:eastAsia="en-US"/>
        </w:rPr>
      </w:pPr>
      <w:r w:rsidRPr="005D657A">
        <w:rPr>
          <w:rFonts w:eastAsia="SimSun"/>
          <w:lang w:eastAsia="en-US"/>
        </w:rPr>
        <w:t xml:space="preserve">Поскольку 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5D657A">
        <w:rPr>
          <w:rFonts w:eastAsia="SimSun"/>
          <w:lang w:eastAsia="en-US"/>
        </w:rPr>
        <w:t xml:space="preserve"> использовался в комбинации с </w:t>
      </w:r>
      <w:proofErr w:type="spellStart"/>
      <w:r w:rsidR="00E856AD">
        <w:rPr>
          <w:rFonts w:eastAsia="SimSun"/>
          <w:lang w:eastAsia="en-US"/>
        </w:rPr>
        <w:t>трастузумабом</w:t>
      </w:r>
      <w:proofErr w:type="spellEnd"/>
      <w:r w:rsidRPr="005D657A">
        <w:rPr>
          <w:rFonts w:eastAsia="SimSun"/>
          <w:lang w:eastAsia="en-US"/>
        </w:rPr>
        <w:t xml:space="preserve"> и</w:t>
      </w:r>
      <w:r w:rsidR="00EA7F5D">
        <w:rPr>
          <w:rFonts w:eastAsia="SimSun"/>
          <w:lang w:eastAsia="en-US"/>
        </w:rPr>
        <w:t xml:space="preserve"> </w:t>
      </w:r>
      <w:r w:rsidR="001F2C38">
        <w:rPr>
          <w:rFonts w:eastAsia="SimSun"/>
          <w:lang w:eastAsia="en-US"/>
        </w:rPr>
        <w:t>химиотерапевтическими препаратами</w:t>
      </w:r>
      <w:r w:rsidRPr="005D657A">
        <w:rPr>
          <w:rFonts w:eastAsia="SimSun"/>
          <w:lang w:eastAsia="en-US"/>
        </w:rPr>
        <w:t>, проблематично точно установить причинно-следственную взаимосвязь между нежелательн</w:t>
      </w:r>
      <w:r w:rsidR="00A65B20">
        <w:rPr>
          <w:rFonts w:eastAsia="SimSun"/>
          <w:lang w:eastAsia="en-US"/>
        </w:rPr>
        <w:t xml:space="preserve">ой реакцией </w:t>
      </w:r>
      <w:r w:rsidRPr="005D657A">
        <w:rPr>
          <w:rFonts w:eastAsia="SimSun"/>
          <w:lang w:eastAsia="en-US"/>
        </w:rPr>
        <w:t xml:space="preserve">и конкретным препаратом. </w:t>
      </w:r>
    </w:p>
    <w:p w14:paraId="13A9D872" w14:textId="65EAF5F4" w:rsidR="007F4B1F" w:rsidRDefault="00C002D7" w:rsidP="00C957E2">
      <w:pPr>
        <w:suppressLineNumbers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Batang"/>
          <w:color w:val="000000"/>
          <w:lang w:eastAsia="en-US"/>
        </w:rPr>
      </w:pPr>
      <w:r w:rsidRPr="007A66BD">
        <w:rPr>
          <w:rFonts w:eastAsia="Batang"/>
          <w:color w:val="000000"/>
          <w:lang w:eastAsia="en-US"/>
        </w:rPr>
        <w:t xml:space="preserve">Для описания частоты нежелательных реакций используется следующая классификация: </w:t>
      </w:r>
      <w:r w:rsidR="009D7CE5" w:rsidRPr="00250B2E">
        <w:rPr>
          <w:rFonts w:eastAsia="Batang"/>
          <w:color w:val="000000"/>
          <w:lang w:eastAsia="en-US"/>
        </w:rPr>
        <w:t>очень част</w:t>
      </w:r>
      <w:r w:rsidR="00BC5E55" w:rsidRPr="006D220B">
        <w:rPr>
          <w:rFonts w:eastAsia="Batang"/>
          <w:color w:val="000000"/>
          <w:lang w:eastAsia="en-US"/>
        </w:rPr>
        <w:t>о</w:t>
      </w:r>
      <w:r w:rsidR="00BC5E55" w:rsidRPr="007A66BD">
        <w:rPr>
          <w:rFonts w:eastAsia="Batang"/>
          <w:color w:val="000000"/>
          <w:lang w:eastAsia="en-US"/>
        </w:rPr>
        <w:t xml:space="preserve"> </w:t>
      </w:r>
      <w:r w:rsidRPr="007A66BD">
        <w:rPr>
          <w:rFonts w:eastAsia="Batang"/>
          <w:color w:val="000000"/>
          <w:lang w:eastAsia="en-US"/>
        </w:rPr>
        <w:t>(≥1/10)</w:t>
      </w:r>
      <w:r w:rsidR="006D220B">
        <w:rPr>
          <w:rFonts w:eastAsia="Batang"/>
          <w:color w:val="000000"/>
          <w:lang w:eastAsia="en-US"/>
        </w:rPr>
        <w:t>,</w:t>
      </w:r>
      <w:r w:rsidRPr="007A66BD">
        <w:rPr>
          <w:rFonts w:eastAsia="Batang"/>
          <w:color w:val="000000"/>
          <w:lang w:eastAsia="en-US"/>
        </w:rPr>
        <w:t xml:space="preserve"> </w:t>
      </w:r>
      <w:r w:rsidR="009D7CE5" w:rsidRPr="00250B2E">
        <w:rPr>
          <w:rFonts w:eastAsia="Batang"/>
          <w:color w:val="000000"/>
          <w:lang w:eastAsia="en-US"/>
        </w:rPr>
        <w:t>част</w:t>
      </w:r>
      <w:r w:rsidR="00BC5E55">
        <w:rPr>
          <w:rFonts w:eastAsia="Batang"/>
          <w:color w:val="000000"/>
          <w:lang w:eastAsia="en-US"/>
        </w:rPr>
        <w:t>о</w:t>
      </w:r>
      <w:r w:rsidR="00BC5E55" w:rsidRPr="007A66BD">
        <w:rPr>
          <w:rFonts w:eastAsia="Batang"/>
          <w:color w:val="000000"/>
          <w:lang w:eastAsia="en-US"/>
        </w:rPr>
        <w:t xml:space="preserve"> </w:t>
      </w:r>
      <w:r w:rsidRPr="007A66BD">
        <w:rPr>
          <w:rFonts w:eastAsia="Batang"/>
          <w:color w:val="000000"/>
          <w:lang w:eastAsia="en-US"/>
        </w:rPr>
        <w:t>(≥1/100 и &lt;1/10)</w:t>
      </w:r>
      <w:r w:rsidR="006D220B">
        <w:rPr>
          <w:rFonts w:eastAsia="Batang"/>
          <w:color w:val="000000"/>
          <w:lang w:eastAsia="en-US"/>
        </w:rPr>
        <w:t xml:space="preserve">, </w:t>
      </w:r>
      <w:r w:rsidR="00C856ED">
        <w:rPr>
          <w:rFonts w:eastAsia="Batang"/>
          <w:color w:val="000000"/>
          <w:lang w:eastAsia="en-US"/>
        </w:rPr>
        <w:t>нечасто</w:t>
      </w:r>
      <w:r w:rsidR="006D220B">
        <w:rPr>
          <w:rFonts w:eastAsia="Batang"/>
          <w:color w:val="000000"/>
          <w:lang w:eastAsia="en-US"/>
        </w:rPr>
        <w:t xml:space="preserve"> </w:t>
      </w:r>
      <w:r w:rsidR="006D220B" w:rsidRPr="007A66BD">
        <w:rPr>
          <w:rFonts w:eastAsia="Batang"/>
          <w:color w:val="000000"/>
          <w:lang w:eastAsia="en-US"/>
        </w:rPr>
        <w:t>(≥1/100</w:t>
      </w:r>
      <w:r w:rsidR="006D220B">
        <w:rPr>
          <w:rFonts w:eastAsia="Batang"/>
          <w:color w:val="000000"/>
          <w:lang w:eastAsia="en-US"/>
        </w:rPr>
        <w:t>0</w:t>
      </w:r>
      <w:r w:rsidR="006D220B" w:rsidRPr="007A66BD">
        <w:rPr>
          <w:rFonts w:eastAsia="Batang"/>
          <w:color w:val="000000"/>
          <w:lang w:eastAsia="en-US"/>
        </w:rPr>
        <w:t xml:space="preserve"> и &lt;1/10</w:t>
      </w:r>
      <w:r w:rsidR="006D220B">
        <w:rPr>
          <w:rFonts w:eastAsia="Batang"/>
          <w:color w:val="000000"/>
          <w:lang w:eastAsia="en-US"/>
        </w:rPr>
        <w:t xml:space="preserve">0), редко </w:t>
      </w:r>
      <w:r w:rsidR="006D220B" w:rsidRPr="007A66BD">
        <w:rPr>
          <w:rFonts w:eastAsia="Batang"/>
          <w:color w:val="000000"/>
          <w:lang w:eastAsia="en-US"/>
        </w:rPr>
        <w:t>(≥1/100</w:t>
      </w:r>
      <w:r w:rsidR="006D220B">
        <w:rPr>
          <w:rFonts w:eastAsia="Batang"/>
          <w:color w:val="000000"/>
          <w:lang w:eastAsia="en-US"/>
        </w:rPr>
        <w:t>00</w:t>
      </w:r>
      <w:r w:rsidR="006D220B" w:rsidRPr="007A66BD">
        <w:rPr>
          <w:rFonts w:eastAsia="Batang"/>
          <w:color w:val="000000"/>
          <w:lang w:eastAsia="en-US"/>
        </w:rPr>
        <w:t xml:space="preserve"> и &lt;1/10</w:t>
      </w:r>
      <w:r w:rsidR="006D220B">
        <w:rPr>
          <w:rFonts w:eastAsia="Batang"/>
          <w:color w:val="000000"/>
          <w:lang w:eastAsia="en-US"/>
        </w:rPr>
        <w:t>00) и очень редко (</w:t>
      </w:r>
      <w:r w:rsidR="006D220B" w:rsidRPr="007A66BD">
        <w:rPr>
          <w:rFonts w:eastAsia="Batang"/>
          <w:color w:val="000000"/>
          <w:lang w:eastAsia="en-US"/>
        </w:rPr>
        <w:t>&lt;1/10</w:t>
      </w:r>
      <w:r w:rsidR="006D220B">
        <w:rPr>
          <w:rFonts w:eastAsia="Batang"/>
          <w:color w:val="000000"/>
          <w:lang w:eastAsia="en-US"/>
        </w:rPr>
        <w:t>000)</w:t>
      </w:r>
      <w:r w:rsidRPr="007A66BD">
        <w:rPr>
          <w:rFonts w:eastAsia="Batang"/>
          <w:color w:val="000000"/>
          <w:lang w:eastAsia="en-US"/>
        </w:rPr>
        <w:t xml:space="preserve">. </w:t>
      </w:r>
    </w:p>
    <w:p w14:paraId="442F2D12" w14:textId="2F394DAF" w:rsidR="00770121" w:rsidRDefault="00770121" w:rsidP="00D074FE">
      <w:pPr>
        <w:spacing w:line="360" w:lineRule="auto"/>
        <w:rPr>
          <w:rFonts w:eastAsia="Batang"/>
          <w:color w:val="000000"/>
          <w:lang w:eastAsia="en-US"/>
        </w:rPr>
      </w:pPr>
      <w:r>
        <w:rPr>
          <w:rFonts w:eastAsia="Batang"/>
          <w:color w:val="000000"/>
          <w:lang w:eastAsia="en-US"/>
        </w:rPr>
        <w:t xml:space="preserve">Наиболее часто </w:t>
      </w:r>
      <w:r w:rsidR="00DE2FEE">
        <w:rPr>
          <w:rFonts w:eastAsia="Batang"/>
          <w:color w:val="000000"/>
          <w:lang w:eastAsia="en-US"/>
        </w:rPr>
        <w:t xml:space="preserve">(≥30%) </w:t>
      </w:r>
      <w:r w:rsidR="00CB3DFE">
        <w:rPr>
          <w:rFonts w:eastAsia="Batang"/>
          <w:color w:val="000000"/>
          <w:lang w:eastAsia="en-US"/>
        </w:rPr>
        <w:t xml:space="preserve">в опорных клинических исследованиях </w:t>
      </w:r>
      <w:r>
        <w:rPr>
          <w:rFonts w:eastAsia="Batang"/>
          <w:color w:val="000000"/>
          <w:lang w:eastAsia="en-US"/>
        </w:rPr>
        <w:t xml:space="preserve">отмечались следующие нежелательные реакции: диарея, алопеция, тошнота, повышенная утомляемость, нейтропения и рвота. </w:t>
      </w:r>
      <w:r w:rsidRPr="007A66BD">
        <w:rPr>
          <w:rFonts w:eastAsia="SimSun"/>
          <w:lang w:eastAsia="en-US"/>
        </w:rPr>
        <w:t xml:space="preserve">Наиболее часто </w:t>
      </w:r>
      <w:r w:rsidR="00DE2FEE" w:rsidRPr="00C61CF9">
        <w:rPr>
          <w:rFonts w:eastAsia="SimSun"/>
          <w:lang w:eastAsia="en-US"/>
        </w:rPr>
        <w:t>(</w:t>
      </w:r>
      <w:r w:rsidR="00DE2FEE">
        <w:rPr>
          <w:rFonts w:eastAsia="SimSun"/>
          <w:lang w:eastAsia="en-US"/>
        </w:rPr>
        <w:t>≥</w:t>
      </w:r>
      <w:r w:rsidR="00DE2FEE" w:rsidRPr="00C61CF9">
        <w:rPr>
          <w:rFonts w:eastAsia="SimSun"/>
          <w:lang w:eastAsia="en-US"/>
        </w:rPr>
        <w:t>10%)</w:t>
      </w:r>
      <w:r w:rsidR="00DE2FEE" w:rsidRPr="00007C81">
        <w:rPr>
          <w:rFonts w:eastAsia="SimSun"/>
          <w:lang w:eastAsia="en-US"/>
        </w:rPr>
        <w:t xml:space="preserve"> </w:t>
      </w:r>
      <w:r w:rsidRPr="00C61CF9">
        <w:rPr>
          <w:rFonts w:eastAsia="SimSun"/>
          <w:lang w:eastAsia="en-US"/>
        </w:rPr>
        <w:t xml:space="preserve">наблюдавшимися </w:t>
      </w:r>
      <w:r w:rsidRPr="007A66BD">
        <w:rPr>
          <w:rFonts w:eastAsia="SimSun"/>
          <w:lang w:eastAsia="en-US"/>
        </w:rPr>
        <w:t>нежелательными реакциями</w:t>
      </w:r>
      <w:r>
        <w:rPr>
          <w:rFonts w:eastAsia="SimSun"/>
          <w:lang w:eastAsia="en-US"/>
        </w:rPr>
        <w:t xml:space="preserve"> 3-4-й</w:t>
      </w:r>
      <w:r w:rsidRPr="007A66BD">
        <w:rPr>
          <w:rFonts w:eastAsia="SimSun"/>
          <w:lang w:eastAsia="en-US"/>
        </w:rPr>
        <w:t xml:space="preserve"> степени тяжести по классификации </w:t>
      </w:r>
      <w:r>
        <w:rPr>
          <w:rFonts w:eastAsia="SimSun"/>
          <w:lang w:eastAsia="en-US"/>
        </w:rPr>
        <w:t xml:space="preserve">Национального института рака </w:t>
      </w:r>
      <w:r>
        <w:rPr>
          <w:rFonts w:eastAsia="SimSun"/>
          <w:lang w:val="en-US" w:eastAsia="en-US"/>
        </w:rPr>
        <w:t>National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Cancer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Institute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Common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Terminology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Criteria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of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Adverse</w:t>
      </w:r>
      <w:r w:rsidRPr="00D44534">
        <w:rPr>
          <w:rFonts w:eastAsia="SimSun"/>
          <w:lang w:eastAsia="en-US"/>
        </w:rPr>
        <w:t xml:space="preserve"> </w:t>
      </w:r>
      <w:r>
        <w:rPr>
          <w:rFonts w:eastAsia="SimSun"/>
          <w:lang w:val="en-US" w:eastAsia="en-US"/>
        </w:rPr>
        <w:t>Events</w:t>
      </w:r>
      <w:r w:rsidRPr="00807824">
        <w:rPr>
          <w:rFonts w:eastAsia="SimSun"/>
          <w:lang w:eastAsia="en-US"/>
        </w:rPr>
        <w:t xml:space="preserve"> </w:t>
      </w:r>
      <w:r w:rsidRPr="00D555CE">
        <w:rPr>
          <w:rFonts w:eastAsia="SimSun"/>
          <w:lang w:eastAsia="en-US"/>
        </w:rPr>
        <w:t>(</w:t>
      </w:r>
      <w:r w:rsidRPr="007A66BD">
        <w:rPr>
          <w:rFonts w:eastAsia="SimSun"/>
          <w:lang w:eastAsia="en-US"/>
        </w:rPr>
        <w:t>NCI-CTCAE</w:t>
      </w:r>
      <w:r w:rsidRPr="00D555CE">
        <w:rPr>
          <w:rFonts w:eastAsia="SimSun"/>
          <w:lang w:eastAsia="en-US"/>
        </w:rPr>
        <w:t>)</w:t>
      </w:r>
      <w:r w:rsidRPr="00DC6F63">
        <w:rPr>
          <w:rFonts w:eastAsia="SimSun"/>
          <w:lang w:eastAsia="en-US"/>
        </w:rPr>
        <w:t xml:space="preserve">, </w:t>
      </w:r>
      <w:r w:rsidRPr="007A66BD">
        <w:rPr>
          <w:rFonts w:eastAsia="SimSun"/>
          <w:lang w:eastAsia="en-US"/>
        </w:rPr>
        <w:t>были нейтропения</w:t>
      </w:r>
      <w:r>
        <w:rPr>
          <w:rFonts w:eastAsia="SimSun"/>
          <w:lang w:eastAsia="en-US"/>
        </w:rPr>
        <w:t xml:space="preserve"> и </w:t>
      </w:r>
      <w:r w:rsidRPr="007A66BD">
        <w:rPr>
          <w:rFonts w:eastAsia="SimSun"/>
          <w:lang w:eastAsia="en-US"/>
        </w:rPr>
        <w:t>фебрильная нейтропения.</w:t>
      </w:r>
    </w:p>
    <w:p w14:paraId="75E13840" w14:textId="44660B5D" w:rsidR="00A74DC0" w:rsidRPr="00224493" w:rsidRDefault="00A74DC0" w:rsidP="00C957E2">
      <w:pPr>
        <w:suppressLineNumbers/>
        <w:tabs>
          <w:tab w:val="left" w:pos="567"/>
        </w:tabs>
        <w:spacing w:line="360" w:lineRule="auto"/>
        <w:rPr>
          <w:rFonts w:eastAsia="SimSun"/>
          <w:color w:val="000000"/>
          <w:lang w:eastAsia="en-US"/>
        </w:rPr>
      </w:pPr>
      <w:r w:rsidRPr="00B845A2">
        <w:rPr>
          <w:rFonts w:eastAsia="SimSun"/>
          <w:i/>
          <w:color w:val="000000"/>
          <w:lang w:eastAsia="en-US"/>
        </w:rPr>
        <w:t xml:space="preserve">Нарушения со стороны крови и лимфатической системы: </w:t>
      </w:r>
      <w:r w:rsidRPr="00BF0F98">
        <w:rPr>
          <w:rFonts w:eastAsia="SimSun"/>
          <w:color w:val="000000"/>
          <w:lang w:eastAsia="en-US"/>
        </w:rPr>
        <w:t xml:space="preserve">очень часто – </w:t>
      </w:r>
      <w:r w:rsidRPr="00224493">
        <w:rPr>
          <w:rFonts w:eastAsia="SimSun"/>
          <w:color w:val="000000"/>
          <w:lang w:eastAsia="en-US"/>
        </w:rPr>
        <w:t>нейтропения, анемия,</w:t>
      </w:r>
      <w:r w:rsidRPr="00224493">
        <w:rPr>
          <w:rFonts w:eastAsia="SimSun"/>
          <w:i/>
          <w:color w:val="000000"/>
          <w:lang w:eastAsia="en-US"/>
        </w:rPr>
        <w:t xml:space="preserve"> </w:t>
      </w:r>
      <w:r w:rsidRPr="00224493">
        <w:rPr>
          <w:rFonts w:eastAsia="SimSun"/>
          <w:color w:val="000000"/>
          <w:lang w:eastAsia="en-US"/>
        </w:rPr>
        <w:t>фебрильная нейтропения</w:t>
      </w:r>
      <w:r w:rsidR="00E47DB1" w:rsidRPr="00224493">
        <w:rPr>
          <w:rFonts w:eastAsia="SimSun"/>
          <w:color w:val="000000"/>
          <w:lang w:eastAsia="en-US"/>
        </w:rPr>
        <w:t xml:space="preserve"> (в том числе с летальным исходом)</w:t>
      </w:r>
      <w:r w:rsidR="00E5519A" w:rsidRPr="00224493">
        <w:rPr>
          <w:rFonts w:eastAsia="SimSun"/>
          <w:color w:val="000000"/>
          <w:lang w:eastAsia="en-US"/>
        </w:rPr>
        <w:t>, лейкопения</w:t>
      </w:r>
      <w:r w:rsidRPr="00224493">
        <w:rPr>
          <w:rFonts w:eastAsia="SimSun"/>
          <w:color w:val="000000"/>
          <w:lang w:eastAsia="en-US"/>
        </w:rPr>
        <w:t xml:space="preserve">. </w:t>
      </w:r>
    </w:p>
    <w:p w14:paraId="5C37F367" w14:textId="7889BF49" w:rsidR="00AC56A6" w:rsidRPr="00224493" w:rsidRDefault="00A74DC0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1034DE">
        <w:rPr>
          <w:rFonts w:eastAsia="Batang"/>
          <w:bCs/>
          <w:i/>
          <w:color w:val="000000"/>
          <w:lang w:eastAsia="en-US"/>
        </w:rPr>
        <w:t>Нарушения со стороны иммунной системы</w:t>
      </w:r>
      <w:r w:rsidRPr="001034DE">
        <w:rPr>
          <w:rFonts w:eastAsia="Batang"/>
          <w:bCs/>
          <w:color w:val="000000"/>
          <w:lang w:eastAsia="en-US"/>
        </w:rPr>
        <w:t xml:space="preserve">: </w:t>
      </w:r>
      <w:r w:rsidR="009765A5" w:rsidRPr="001034DE">
        <w:rPr>
          <w:rFonts w:eastAsia="Batang"/>
          <w:bCs/>
          <w:color w:val="000000"/>
          <w:lang w:eastAsia="en-US"/>
        </w:rPr>
        <w:t xml:space="preserve">очень </w:t>
      </w:r>
      <w:r w:rsidRPr="001034DE">
        <w:rPr>
          <w:rFonts w:eastAsia="Batang"/>
          <w:bCs/>
          <w:color w:val="000000"/>
          <w:lang w:eastAsia="en-US"/>
        </w:rPr>
        <w:t xml:space="preserve">часто </w:t>
      </w:r>
      <w:r w:rsidR="001034DE" w:rsidRPr="001034DE">
        <w:rPr>
          <w:rFonts w:eastAsia="Batang"/>
          <w:bCs/>
          <w:color w:val="000000"/>
          <w:lang w:eastAsia="en-US"/>
        </w:rPr>
        <w:t xml:space="preserve">– </w:t>
      </w:r>
      <w:r w:rsidR="009765A5" w:rsidRPr="001034DE">
        <w:rPr>
          <w:rFonts w:eastAsia="Batang"/>
          <w:bCs/>
          <w:color w:val="000000"/>
          <w:lang w:eastAsia="en-US"/>
        </w:rPr>
        <w:t>инфузионные реакции</w:t>
      </w:r>
      <w:r w:rsidR="004846B2">
        <w:rPr>
          <w:rFonts w:eastAsia="Batang"/>
          <w:bCs/>
          <w:color w:val="000000"/>
          <w:lang w:eastAsia="en-US"/>
        </w:rPr>
        <w:t xml:space="preserve"> </w:t>
      </w:r>
      <w:r w:rsidR="004846B2" w:rsidRPr="00224493">
        <w:rPr>
          <w:rFonts w:eastAsia="SimSun"/>
          <w:color w:val="000000"/>
          <w:lang w:eastAsia="en-US"/>
        </w:rPr>
        <w:t>(в том числе с летальным исходом)</w:t>
      </w:r>
      <w:r w:rsidR="001034DE">
        <w:rPr>
          <w:rFonts w:eastAsia="Batang"/>
          <w:bCs/>
          <w:color w:val="000000"/>
          <w:lang w:eastAsia="en-US"/>
        </w:rPr>
        <w:t xml:space="preserve">; часто </w:t>
      </w:r>
      <w:r w:rsidR="00C31CA6">
        <w:rPr>
          <w:rFonts w:eastAsia="Batang"/>
          <w:bCs/>
          <w:color w:val="000000"/>
          <w:lang w:eastAsia="en-US"/>
        </w:rPr>
        <w:t>– гиперчувствительность</w:t>
      </w:r>
      <w:r w:rsidR="004846B2">
        <w:rPr>
          <w:rFonts w:eastAsia="Batang"/>
          <w:bCs/>
          <w:color w:val="000000"/>
          <w:lang w:eastAsia="en-US"/>
        </w:rPr>
        <w:t xml:space="preserve"> </w:t>
      </w:r>
      <w:r w:rsidR="004846B2" w:rsidRPr="00224493">
        <w:rPr>
          <w:rFonts w:eastAsia="SimSun"/>
          <w:color w:val="000000"/>
          <w:lang w:eastAsia="en-US"/>
        </w:rPr>
        <w:t>(в том числе с летальным исходом)</w:t>
      </w:r>
      <w:r w:rsidR="00C31CA6">
        <w:rPr>
          <w:rFonts w:eastAsia="Batang"/>
          <w:bCs/>
          <w:color w:val="000000"/>
          <w:lang w:eastAsia="en-US"/>
        </w:rPr>
        <w:t>;</w:t>
      </w:r>
      <w:r w:rsidR="00A95B34" w:rsidRPr="001034DE">
        <w:rPr>
          <w:rFonts w:eastAsia="Batang"/>
          <w:bCs/>
          <w:color w:val="000000"/>
          <w:lang w:eastAsia="en-US"/>
        </w:rPr>
        <w:t xml:space="preserve"> </w:t>
      </w:r>
      <w:r w:rsidR="00C31CA6">
        <w:rPr>
          <w:rFonts w:eastAsia="Batang"/>
          <w:bCs/>
          <w:color w:val="000000"/>
          <w:lang w:eastAsia="en-US"/>
        </w:rPr>
        <w:t xml:space="preserve">нечасто </w:t>
      </w:r>
      <w:r w:rsidR="00C31CA6" w:rsidRPr="001034DE">
        <w:rPr>
          <w:rFonts w:eastAsia="Batang"/>
          <w:bCs/>
          <w:color w:val="000000"/>
          <w:lang w:eastAsia="en-US"/>
        </w:rPr>
        <w:t>–</w:t>
      </w:r>
      <w:r w:rsidR="00C31CA6">
        <w:rPr>
          <w:rFonts w:eastAsia="Batang"/>
          <w:bCs/>
          <w:color w:val="000000"/>
          <w:lang w:eastAsia="en-US"/>
        </w:rPr>
        <w:t xml:space="preserve"> </w:t>
      </w:r>
      <w:r w:rsidR="00A95B34" w:rsidRPr="001034DE">
        <w:rPr>
          <w:rFonts w:eastAsia="Batang"/>
          <w:bCs/>
          <w:color w:val="000000"/>
          <w:lang w:eastAsia="en-US"/>
        </w:rPr>
        <w:t>анафилактические реакции</w:t>
      </w:r>
      <w:r w:rsidR="004846B2">
        <w:rPr>
          <w:rFonts w:eastAsia="Batang"/>
          <w:bCs/>
          <w:color w:val="000000"/>
          <w:lang w:eastAsia="en-US"/>
        </w:rPr>
        <w:t xml:space="preserve"> </w:t>
      </w:r>
      <w:r w:rsidR="004846B2" w:rsidRPr="00224493">
        <w:rPr>
          <w:rFonts w:eastAsia="SimSun"/>
          <w:color w:val="000000"/>
          <w:lang w:eastAsia="en-US"/>
        </w:rPr>
        <w:t>(в том числе с летальным исходом)</w:t>
      </w:r>
      <w:r w:rsidR="00A95B34" w:rsidRPr="001034DE">
        <w:rPr>
          <w:rFonts w:eastAsia="Batang"/>
          <w:bCs/>
          <w:color w:val="000000"/>
          <w:lang w:eastAsia="en-US"/>
        </w:rPr>
        <w:t xml:space="preserve">; редко </w:t>
      </w:r>
      <w:r w:rsidR="001034DE" w:rsidRPr="001034DE">
        <w:rPr>
          <w:rFonts w:eastAsia="Batang"/>
          <w:bCs/>
          <w:color w:val="000000"/>
          <w:lang w:eastAsia="en-US"/>
        </w:rPr>
        <w:t xml:space="preserve">– </w:t>
      </w:r>
      <w:r w:rsidR="009765A5" w:rsidRPr="001034DE">
        <w:rPr>
          <w:rFonts w:eastAsia="Batang"/>
          <w:bCs/>
          <w:color w:val="000000"/>
          <w:lang w:eastAsia="en-US"/>
        </w:rPr>
        <w:t>синдром высвобождения цитокинов</w:t>
      </w:r>
      <w:r w:rsidR="00D42416" w:rsidRPr="001034DE">
        <w:rPr>
          <w:rFonts w:eastAsia="Batang"/>
          <w:bCs/>
          <w:color w:val="000000"/>
          <w:lang w:eastAsia="en-US"/>
        </w:rPr>
        <w:t>.</w:t>
      </w:r>
      <w:r w:rsidRPr="00224493">
        <w:rPr>
          <w:rFonts w:eastAsia="Batang"/>
          <w:bCs/>
          <w:color w:val="000000"/>
          <w:lang w:eastAsia="en-US"/>
        </w:rPr>
        <w:t xml:space="preserve"> </w:t>
      </w:r>
    </w:p>
    <w:p w14:paraId="6981A815" w14:textId="77777777" w:rsidR="00A74DC0" w:rsidRPr="00224493" w:rsidRDefault="00A74DC0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 xml:space="preserve">Нарушения </w:t>
      </w:r>
      <w:r w:rsidR="00D42416" w:rsidRPr="00224493">
        <w:rPr>
          <w:rFonts w:eastAsia="Batang"/>
          <w:bCs/>
          <w:i/>
          <w:color w:val="000000"/>
          <w:lang w:eastAsia="en-US"/>
        </w:rPr>
        <w:t xml:space="preserve">со стороны </w:t>
      </w:r>
      <w:r w:rsidRPr="00224493">
        <w:rPr>
          <w:rFonts w:eastAsia="Batang"/>
          <w:bCs/>
          <w:i/>
          <w:color w:val="000000"/>
          <w:lang w:eastAsia="en-US"/>
        </w:rPr>
        <w:t>обмена веществ и питания</w:t>
      </w:r>
      <w:r w:rsidRPr="00224493">
        <w:rPr>
          <w:rFonts w:eastAsia="Batang"/>
          <w:bCs/>
          <w:color w:val="000000"/>
          <w:lang w:eastAsia="en-US"/>
        </w:rPr>
        <w:t xml:space="preserve">: очень часто – снижение аппетита. </w:t>
      </w:r>
    </w:p>
    <w:p w14:paraId="2E1A1C86" w14:textId="77777777" w:rsidR="00A74DC0" w:rsidRPr="00224493" w:rsidRDefault="00A74DC0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>Нарушения психики</w:t>
      </w:r>
      <w:r w:rsidRPr="00224493">
        <w:rPr>
          <w:rFonts w:eastAsia="Batang"/>
          <w:bCs/>
          <w:color w:val="000000"/>
          <w:lang w:eastAsia="en-US"/>
        </w:rPr>
        <w:t>:</w:t>
      </w:r>
      <w:r w:rsidRPr="00224493">
        <w:rPr>
          <w:rFonts w:eastAsia="Batang"/>
          <w:bCs/>
          <w:i/>
          <w:color w:val="000000"/>
          <w:lang w:eastAsia="en-US"/>
        </w:rPr>
        <w:t xml:space="preserve"> </w:t>
      </w:r>
      <w:r w:rsidR="00023398" w:rsidRPr="00224493">
        <w:rPr>
          <w:rFonts w:eastAsia="Batang"/>
          <w:bCs/>
          <w:color w:val="000000"/>
          <w:lang w:eastAsia="en-US"/>
        </w:rPr>
        <w:t xml:space="preserve">очень часто – </w:t>
      </w:r>
      <w:r w:rsidR="00DF2BB8" w:rsidRPr="00224493">
        <w:rPr>
          <w:rFonts w:eastAsia="Batang"/>
          <w:bCs/>
          <w:color w:val="000000"/>
          <w:lang w:eastAsia="en-US"/>
        </w:rPr>
        <w:t>бессонница</w:t>
      </w:r>
      <w:r w:rsidR="00023398" w:rsidRPr="00224493">
        <w:rPr>
          <w:rFonts w:eastAsia="Batang"/>
          <w:bCs/>
          <w:color w:val="000000"/>
          <w:lang w:eastAsia="en-US"/>
        </w:rPr>
        <w:t>.</w:t>
      </w:r>
    </w:p>
    <w:p w14:paraId="3AC513ED" w14:textId="2DFDDD18" w:rsidR="004118E9" w:rsidRPr="00224493" w:rsidRDefault="00023398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>Нарушения со стороны</w:t>
      </w:r>
      <w:r w:rsidR="004118E9" w:rsidRPr="00224493">
        <w:rPr>
          <w:rFonts w:eastAsia="Batang"/>
          <w:bCs/>
          <w:i/>
          <w:color w:val="000000"/>
          <w:lang w:eastAsia="en-US"/>
        </w:rPr>
        <w:t xml:space="preserve"> нервной системы</w:t>
      </w:r>
      <w:r w:rsidR="004118E9" w:rsidRPr="00224493">
        <w:rPr>
          <w:rFonts w:eastAsia="Batang"/>
          <w:bCs/>
          <w:color w:val="000000"/>
          <w:lang w:eastAsia="en-US"/>
        </w:rPr>
        <w:t>: очень часто –</w:t>
      </w:r>
      <w:r w:rsidR="005F1396" w:rsidRPr="00224493">
        <w:rPr>
          <w:rFonts w:eastAsia="Batang"/>
          <w:bCs/>
          <w:color w:val="000000"/>
          <w:lang w:eastAsia="en-US"/>
        </w:rPr>
        <w:t xml:space="preserve"> дисгевзия (искажение вкусовых восприятий),</w:t>
      </w:r>
      <w:r w:rsidR="004118E9" w:rsidRPr="00224493">
        <w:rPr>
          <w:rFonts w:eastAsia="Batang"/>
          <w:bCs/>
          <w:color w:val="000000"/>
          <w:lang w:eastAsia="en-US"/>
        </w:rPr>
        <w:t xml:space="preserve"> </w:t>
      </w:r>
      <w:r w:rsidR="005F1396" w:rsidRPr="00224493">
        <w:rPr>
          <w:rFonts w:eastAsia="Batang"/>
          <w:bCs/>
          <w:color w:val="000000"/>
          <w:lang w:eastAsia="en-US"/>
        </w:rPr>
        <w:t xml:space="preserve">головная боль, </w:t>
      </w:r>
      <w:r w:rsidR="004118E9" w:rsidRPr="00224493">
        <w:rPr>
          <w:rFonts w:eastAsia="Batang"/>
          <w:bCs/>
          <w:color w:val="000000"/>
          <w:lang w:eastAsia="en-US"/>
        </w:rPr>
        <w:t>периферическая нейропатия</w:t>
      </w:r>
      <w:r w:rsidR="007911E6" w:rsidRPr="00224493">
        <w:rPr>
          <w:rFonts w:eastAsia="Batang"/>
          <w:bCs/>
          <w:color w:val="000000"/>
          <w:lang w:eastAsia="en-US"/>
        </w:rPr>
        <w:t>,</w:t>
      </w:r>
      <w:r w:rsidR="00BB376E" w:rsidRPr="00224493">
        <w:rPr>
          <w:rFonts w:eastAsia="Batang"/>
          <w:bCs/>
          <w:color w:val="000000"/>
          <w:lang w:eastAsia="en-US"/>
        </w:rPr>
        <w:t xml:space="preserve"> </w:t>
      </w:r>
      <w:r w:rsidR="00837974" w:rsidRPr="00224493">
        <w:rPr>
          <w:rFonts w:eastAsia="Batang"/>
          <w:bCs/>
          <w:color w:val="000000"/>
          <w:lang w:eastAsia="en-US"/>
        </w:rPr>
        <w:t>головокружение</w:t>
      </w:r>
      <w:r w:rsidR="00FF17D6" w:rsidRPr="00224493">
        <w:rPr>
          <w:rFonts w:eastAsia="Batang"/>
          <w:bCs/>
          <w:color w:val="000000"/>
          <w:lang w:eastAsia="en-US"/>
        </w:rPr>
        <w:t>, парестезия</w:t>
      </w:r>
      <w:r w:rsidR="004118E9" w:rsidRPr="00224493">
        <w:rPr>
          <w:rFonts w:eastAsia="Batang"/>
          <w:bCs/>
          <w:color w:val="000000"/>
          <w:lang w:eastAsia="en-US"/>
        </w:rPr>
        <w:t>.</w:t>
      </w:r>
    </w:p>
    <w:p w14:paraId="359A3D5F" w14:textId="57E5655C" w:rsidR="004118E9" w:rsidRPr="00224493" w:rsidRDefault="0057565C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lastRenderedPageBreak/>
        <w:t>Нарушения со стороны органа</w:t>
      </w:r>
      <w:r w:rsidR="004118E9" w:rsidRPr="00224493">
        <w:rPr>
          <w:rFonts w:eastAsia="Batang"/>
          <w:bCs/>
          <w:i/>
          <w:color w:val="000000"/>
          <w:lang w:eastAsia="en-US"/>
        </w:rPr>
        <w:t xml:space="preserve"> зрения: </w:t>
      </w:r>
      <w:r w:rsidR="00FF17D6" w:rsidRPr="00224493">
        <w:rPr>
          <w:rFonts w:eastAsia="Batang"/>
          <w:bCs/>
          <w:color w:val="000000"/>
          <w:lang w:eastAsia="en-US"/>
        </w:rPr>
        <w:t>очень</w:t>
      </w:r>
      <w:r w:rsidR="00FF17D6" w:rsidRPr="00224493">
        <w:rPr>
          <w:rFonts w:eastAsia="Batang"/>
          <w:bCs/>
          <w:i/>
          <w:color w:val="000000"/>
          <w:lang w:eastAsia="en-US"/>
        </w:rPr>
        <w:t xml:space="preserve"> </w:t>
      </w:r>
      <w:r w:rsidR="004118E9" w:rsidRPr="00224493">
        <w:rPr>
          <w:rFonts w:eastAsia="Batang"/>
          <w:bCs/>
          <w:color w:val="000000"/>
          <w:lang w:eastAsia="en-US"/>
        </w:rPr>
        <w:t>часто –</w:t>
      </w:r>
      <w:r w:rsidR="00D6695C" w:rsidRPr="00224493">
        <w:rPr>
          <w:rFonts w:eastAsia="Batang"/>
          <w:bCs/>
          <w:color w:val="000000"/>
          <w:lang w:eastAsia="en-US"/>
        </w:rPr>
        <w:t xml:space="preserve"> повышенное </w:t>
      </w:r>
      <w:r w:rsidR="004118E9" w:rsidRPr="00224493">
        <w:rPr>
          <w:rFonts w:eastAsia="Batang"/>
          <w:bCs/>
          <w:color w:val="000000"/>
          <w:lang w:eastAsia="en-US"/>
        </w:rPr>
        <w:t>слезо</w:t>
      </w:r>
      <w:r w:rsidR="006D220B" w:rsidRPr="00224493">
        <w:rPr>
          <w:rFonts w:eastAsia="Batang"/>
          <w:bCs/>
          <w:color w:val="000000"/>
          <w:lang w:eastAsia="en-US"/>
        </w:rPr>
        <w:t>о</w:t>
      </w:r>
      <w:r w:rsidR="004118E9" w:rsidRPr="00224493">
        <w:rPr>
          <w:rFonts w:eastAsia="Batang"/>
          <w:bCs/>
          <w:color w:val="000000"/>
          <w:lang w:eastAsia="en-US"/>
        </w:rPr>
        <w:t>т</w:t>
      </w:r>
      <w:r w:rsidR="006D220B" w:rsidRPr="00224493">
        <w:rPr>
          <w:rFonts w:eastAsia="Batang"/>
          <w:bCs/>
          <w:color w:val="000000"/>
          <w:lang w:eastAsia="en-US"/>
        </w:rPr>
        <w:t>деле</w:t>
      </w:r>
      <w:r w:rsidR="004118E9" w:rsidRPr="00224493">
        <w:rPr>
          <w:rFonts w:eastAsia="Batang"/>
          <w:bCs/>
          <w:color w:val="000000"/>
          <w:lang w:eastAsia="en-US"/>
        </w:rPr>
        <w:t>ние.</w:t>
      </w:r>
    </w:p>
    <w:p w14:paraId="793129EB" w14:textId="6EEA56B3" w:rsidR="004118E9" w:rsidRPr="00224493" w:rsidRDefault="004118E9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 xml:space="preserve">Нарушения со стороны сердца: </w:t>
      </w:r>
      <w:r w:rsidRPr="00224493">
        <w:rPr>
          <w:rFonts w:eastAsia="Batang"/>
          <w:bCs/>
          <w:color w:val="000000"/>
          <w:lang w:eastAsia="en-US"/>
        </w:rPr>
        <w:t>часто – нарушение функции левого желудочка</w:t>
      </w:r>
      <w:r w:rsidR="00EA7F5D" w:rsidRPr="00224493">
        <w:rPr>
          <w:rFonts w:eastAsia="Batang"/>
          <w:bCs/>
          <w:color w:val="000000"/>
          <w:lang w:eastAsia="en-US"/>
        </w:rPr>
        <w:t xml:space="preserve">; нечасто </w:t>
      </w:r>
      <w:r w:rsidR="00581157" w:rsidRPr="00224493">
        <w:rPr>
          <w:rFonts w:eastAsia="Batang"/>
          <w:bCs/>
          <w:color w:val="000000"/>
          <w:lang w:eastAsia="en-US"/>
        </w:rPr>
        <w:t>–</w:t>
      </w:r>
      <w:r w:rsidR="00EA7F5D" w:rsidRPr="00224493">
        <w:rPr>
          <w:rFonts w:eastAsia="Batang"/>
          <w:bCs/>
          <w:color w:val="000000"/>
          <w:lang w:eastAsia="en-US"/>
        </w:rPr>
        <w:t xml:space="preserve"> </w:t>
      </w:r>
      <w:r w:rsidR="000D37D8" w:rsidRPr="00224493">
        <w:rPr>
          <w:rFonts w:eastAsia="Batang"/>
          <w:bCs/>
          <w:color w:val="000000"/>
          <w:lang w:eastAsia="en-US"/>
        </w:rPr>
        <w:t xml:space="preserve">застойная </w:t>
      </w:r>
      <w:r w:rsidR="00EA7F5D" w:rsidRPr="00224493">
        <w:rPr>
          <w:rFonts w:eastAsia="Batang"/>
          <w:bCs/>
          <w:color w:val="000000"/>
          <w:lang w:eastAsia="en-US"/>
        </w:rPr>
        <w:t>сердечная недостаточность</w:t>
      </w:r>
      <w:r w:rsidRPr="00224493">
        <w:rPr>
          <w:rFonts w:eastAsia="Batang"/>
          <w:bCs/>
          <w:color w:val="000000"/>
          <w:lang w:eastAsia="en-US"/>
        </w:rPr>
        <w:t xml:space="preserve">. </w:t>
      </w:r>
    </w:p>
    <w:p w14:paraId="2F0D03E5" w14:textId="066614F9" w:rsidR="00767ACC" w:rsidRPr="00224493" w:rsidRDefault="00767ACC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 xml:space="preserve">Нарушения со стороны сосудов: </w:t>
      </w:r>
      <w:r w:rsidRPr="00224493">
        <w:rPr>
          <w:rFonts w:eastAsia="Batang"/>
          <w:bCs/>
          <w:color w:val="000000"/>
          <w:lang w:eastAsia="en-US"/>
        </w:rPr>
        <w:t>очень часто – «приливы».</w:t>
      </w:r>
    </w:p>
    <w:p w14:paraId="6E22165A" w14:textId="79AA8AFE" w:rsidR="004118E9" w:rsidRPr="00224493" w:rsidRDefault="004118E9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>Нарушения со стороны дыхательной системы, органов грудной клетки и средостения:</w:t>
      </w:r>
      <w:r w:rsidRPr="00224493">
        <w:rPr>
          <w:rFonts w:eastAsia="Batang"/>
          <w:bCs/>
          <w:color w:val="000000"/>
          <w:lang w:eastAsia="en-US"/>
        </w:rPr>
        <w:t xml:space="preserve"> очень часто –</w:t>
      </w:r>
      <w:r w:rsidR="00581157" w:rsidRPr="00224493">
        <w:rPr>
          <w:rFonts w:eastAsia="Batang"/>
          <w:bCs/>
          <w:color w:val="000000"/>
          <w:lang w:eastAsia="en-US"/>
        </w:rPr>
        <w:t xml:space="preserve"> </w:t>
      </w:r>
      <w:r w:rsidR="001B28BF" w:rsidRPr="00224493">
        <w:rPr>
          <w:rFonts w:eastAsia="Batang"/>
          <w:bCs/>
          <w:color w:val="000000"/>
          <w:lang w:eastAsia="en-US"/>
        </w:rPr>
        <w:t xml:space="preserve">носовое кровотечение, </w:t>
      </w:r>
      <w:r w:rsidR="00E551AB" w:rsidRPr="00224493">
        <w:rPr>
          <w:rFonts w:eastAsia="Batang"/>
          <w:bCs/>
          <w:color w:val="000000"/>
          <w:lang w:eastAsia="en-US"/>
        </w:rPr>
        <w:t>кашель</w:t>
      </w:r>
      <w:r w:rsidR="001B28BF" w:rsidRPr="00224493">
        <w:rPr>
          <w:rFonts w:eastAsia="Batang"/>
          <w:bCs/>
          <w:color w:val="000000"/>
          <w:lang w:eastAsia="en-US"/>
        </w:rPr>
        <w:t>,</w:t>
      </w:r>
      <w:r w:rsidRPr="00224493">
        <w:rPr>
          <w:rFonts w:eastAsia="Batang"/>
          <w:bCs/>
          <w:color w:val="000000"/>
          <w:lang w:eastAsia="en-US"/>
        </w:rPr>
        <w:t xml:space="preserve"> </w:t>
      </w:r>
      <w:r w:rsidR="00D83703" w:rsidRPr="00224493">
        <w:rPr>
          <w:rFonts w:eastAsia="Batang"/>
          <w:bCs/>
          <w:color w:val="000000"/>
          <w:lang w:eastAsia="en-US"/>
        </w:rPr>
        <w:t>одышка</w:t>
      </w:r>
      <w:r w:rsidR="00E551AB" w:rsidRPr="00224493">
        <w:rPr>
          <w:rFonts w:eastAsia="Batang"/>
          <w:bCs/>
          <w:color w:val="000000"/>
          <w:lang w:eastAsia="en-US"/>
        </w:rPr>
        <w:t>; неч</w:t>
      </w:r>
      <w:r w:rsidR="00E551AB" w:rsidRPr="002874B9">
        <w:rPr>
          <w:rFonts w:eastAsia="Batang"/>
          <w:bCs/>
          <w:color w:val="000000"/>
          <w:lang w:eastAsia="en-US"/>
        </w:rPr>
        <w:t>а</w:t>
      </w:r>
      <w:r w:rsidR="00E551AB" w:rsidRPr="00224493">
        <w:rPr>
          <w:rFonts w:eastAsia="Batang"/>
          <w:bCs/>
          <w:color w:val="000000"/>
          <w:lang w:eastAsia="en-US"/>
        </w:rPr>
        <w:t xml:space="preserve">сто – </w:t>
      </w:r>
      <w:r w:rsidR="001B28BF" w:rsidRPr="00224493">
        <w:rPr>
          <w:rFonts w:eastAsia="Batang"/>
          <w:bCs/>
          <w:color w:val="000000"/>
          <w:lang w:eastAsia="en-US"/>
        </w:rPr>
        <w:t>плевральный выпот</w:t>
      </w:r>
      <w:r w:rsidR="00671DF6" w:rsidRPr="00224493">
        <w:rPr>
          <w:rFonts w:eastAsia="Batang"/>
          <w:bCs/>
          <w:color w:val="000000"/>
          <w:lang w:eastAsia="en-US"/>
        </w:rPr>
        <w:t>,</w:t>
      </w:r>
      <w:r w:rsidR="001B28BF" w:rsidRPr="00224493">
        <w:rPr>
          <w:rFonts w:eastAsia="Batang"/>
          <w:bCs/>
          <w:color w:val="000000"/>
          <w:lang w:eastAsia="en-US"/>
        </w:rPr>
        <w:t xml:space="preserve"> </w:t>
      </w:r>
      <w:r w:rsidR="00E551AB" w:rsidRPr="00224493">
        <w:rPr>
          <w:rFonts w:eastAsia="Batang"/>
          <w:bCs/>
          <w:color w:val="000000"/>
          <w:lang w:eastAsia="en-US"/>
        </w:rPr>
        <w:t>интерстициальная болезнь легких</w:t>
      </w:r>
      <w:r w:rsidRPr="00224493">
        <w:rPr>
          <w:rFonts w:eastAsia="Batang"/>
          <w:bCs/>
          <w:color w:val="000000"/>
          <w:lang w:eastAsia="en-US"/>
        </w:rPr>
        <w:t xml:space="preserve">. </w:t>
      </w:r>
    </w:p>
    <w:p w14:paraId="2CC06FCF" w14:textId="760DC17A" w:rsidR="004118E9" w:rsidRPr="00B845A2" w:rsidRDefault="004118E9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B845A2">
        <w:rPr>
          <w:rFonts w:eastAsia="Batang"/>
          <w:bCs/>
          <w:i/>
          <w:color w:val="000000"/>
          <w:lang w:eastAsia="en-US"/>
        </w:rPr>
        <w:t>Нарушения со</w:t>
      </w:r>
      <w:r w:rsidR="0057565C" w:rsidRPr="00BF0F98">
        <w:rPr>
          <w:rFonts w:eastAsia="Batang"/>
          <w:bCs/>
          <w:i/>
          <w:color w:val="000000"/>
          <w:lang w:eastAsia="en-US"/>
        </w:rPr>
        <w:t xml:space="preserve"> стороны желудочно-кишечного тракта</w:t>
      </w:r>
      <w:r w:rsidRPr="00224493">
        <w:rPr>
          <w:rFonts w:eastAsia="Batang"/>
          <w:bCs/>
          <w:i/>
          <w:color w:val="000000"/>
          <w:lang w:eastAsia="en-US"/>
        </w:rPr>
        <w:t xml:space="preserve">: </w:t>
      </w:r>
      <w:r w:rsidRPr="00224493">
        <w:rPr>
          <w:rFonts w:eastAsia="Batang"/>
          <w:bCs/>
          <w:color w:val="000000"/>
          <w:lang w:eastAsia="en-US"/>
        </w:rPr>
        <w:t xml:space="preserve">очень часто – диарея, тошнота, рвота, </w:t>
      </w:r>
      <w:r w:rsidR="007173DD" w:rsidRPr="00224493">
        <w:rPr>
          <w:rFonts w:eastAsia="Batang"/>
          <w:bCs/>
          <w:color w:val="000000"/>
          <w:lang w:eastAsia="en-US"/>
        </w:rPr>
        <w:t xml:space="preserve">стоматит, </w:t>
      </w:r>
      <w:r w:rsidRPr="00224493">
        <w:rPr>
          <w:rFonts w:eastAsia="Batang"/>
          <w:bCs/>
          <w:color w:val="000000"/>
          <w:lang w:eastAsia="en-US"/>
        </w:rPr>
        <w:t xml:space="preserve">запор, </w:t>
      </w:r>
      <w:r w:rsidR="00A93C63" w:rsidRPr="00224493">
        <w:rPr>
          <w:rFonts w:eastAsia="Batang"/>
          <w:bCs/>
          <w:color w:val="000000"/>
          <w:lang w:eastAsia="en-US"/>
        </w:rPr>
        <w:t>диспепсия</w:t>
      </w:r>
      <w:r w:rsidRPr="00224493">
        <w:rPr>
          <w:rFonts w:eastAsia="Batang"/>
          <w:bCs/>
          <w:color w:val="000000"/>
          <w:lang w:eastAsia="en-US"/>
        </w:rPr>
        <w:t>.</w:t>
      </w:r>
    </w:p>
    <w:p w14:paraId="6D8E2E70" w14:textId="679A2D60" w:rsidR="0057565C" w:rsidRPr="00224493" w:rsidRDefault="004118E9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BF0F98">
        <w:rPr>
          <w:rFonts w:eastAsia="Batang"/>
          <w:bCs/>
          <w:i/>
          <w:color w:val="000000"/>
          <w:lang w:eastAsia="en-US"/>
        </w:rPr>
        <w:t xml:space="preserve">Нарушения со </w:t>
      </w:r>
      <w:r w:rsidR="0057565C" w:rsidRPr="00224493">
        <w:rPr>
          <w:rFonts w:eastAsia="Batang"/>
          <w:bCs/>
          <w:i/>
          <w:color w:val="000000"/>
          <w:lang w:eastAsia="en-US"/>
        </w:rPr>
        <w:t xml:space="preserve">стороны кожи и подкожных тканей: </w:t>
      </w:r>
      <w:r w:rsidR="0057565C" w:rsidRPr="00224493">
        <w:rPr>
          <w:rFonts w:eastAsia="Batang"/>
          <w:bCs/>
          <w:color w:val="000000"/>
          <w:lang w:eastAsia="en-US"/>
        </w:rPr>
        <w:t>очень часто – алопеция, сыпь, патология ногтей</w:t>
      </w:r>
      <w:r w:rsidR="001B28BF" w:rsidRPr="00224493">
        <w:rPr>
          <w:rFonts w:eastAsia="Batang"/>
          <w:bCs/>
          <w:color w:val="000000"/>
          <w:lang w:eastAsia="en-US"/>
        </w:rPr>
        <w:t>,</w:t>
      </w:r>
      <w:r w:rsidR="0057565C" w:rsidRPr="00224493">
        <w:rPr>
          <w:rFonts w:eastAsia="Batang"/>
          <w:bCs/>
          <w:color w:val="000000"/>
          <w:lang w:eastAsia="en-US"/>
        </w:rPr>
        <w:t xml:space="preserve"> зуд, сухость кожи</w:t>
      </w:r>
      <w:r w:rsidR="001B28BF" w:rsidRPr="00224493">
        <w:rPr>
          <w:rFonts w:eastAsia="Batang"/>
          <w:bCs/>
          <w:color w:val="000000"/>
          <w:lang w:eastAsia="en-US"/>
        </w:rPr>
        <w:t xml:space="preserve">; часто – </w:t>
      </w:r>
      <w:r w:rsidR="00D42416" w:rsidRPr="00224493">
        <w:rPr>
          <w:rFonts w:eastAsia="Batang"/>
          <w:bCs/>
          <w:color w:val="000000"/>
          <w:lang w:eastAsia="en-US"/>
        </w:rPr>
        <w:t>паронихий.</w:t>
      </w:r>
    </w:p>
    <w:p w14:paraId="02988184" w14:textId="20CBBC4E" w:rsidR="0057565C" w:rsidRPr="00224493" w:rsidRDefault="0057565C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>Нарушения со стороны</w:t>
      </w:r>
      <w:r w:rsidR="004118E9" w:rsidRPr="00224493">
        <w:rPr>
          <w:rFonts w:eastAsia="Batang"/>
          <w:bCs/>
          <w:i/>
          <w:color w:val="000000"/>
          <w:lang w:eastAsia="en-US"/>
        </w:rPr>
        <w:t xml:space="preserve"> </w:t>
      </w:r>
      <w:r w:rsidRPr="00224493">
        <w:rPr>
          <w:rFonts w:eastAsia="Batang"/>
          <w:bCs/>
          <w:i/>
          <w:color w:val="000000"/>
          <w:lang w:eastAsia="en-US"/>
        </w:rPr>
        <w:t xml:space="preserve">скелетно-мышечной и соединительной ткани: </w:t>
      </w:r>
      <w:r w:rsidRPr="00224493">
        <w:rPr>
          <w:rFonts w:eastAsia="Batang"/>
          <w:bCs/>
          <w:color w:val="000000"/>
          <w:lang w:eastAsia="en-US"/>
        </w:rPr>
        <w:t xml:space="preserve">очень часто – </w:t>
      </w:r>
      <w:r w:rsidR="004959E8" w:rsidRPr="00224493">
        <w:rPr>
          <w:rFonts w:eastAsia="Batang"/>
          <w:bCs/>
          <w:color w:val="000000"/>
          <w:lang w:eastAsia="en-US"/>
        </w:rPr>
        <w:t xml:space="preserve">артралгия, </w:t>
      </w:r>
      <w:r w:rsidRPr="00224493">
        <w:rPr>
          <w:rFonts w:eastAsia="Batang"/>
          <w:bCs/>
          <w:color w:val="000000"/>
          <w:lang w:eastAsia="en-US"/>
        </w:rPr>
        <w:t>миалгия.</w:t>
      </w:r>
    </w:p>
    <w:p w14:paraId="2FAD5E20" w14:textId="67CBD21C" w:rsidR="00023398" w:rsidRDefault="00D42416" w:rsidP="00C957E2">
      <w:pPr>
        <w:suppressLineNumbers/>
        <w:tabs>
          <w:tab w:val="left" w:pos="567"/>
        </w:tabs>
        <w:spacing w:line="360" w:lineRule="auto"/>
        <w:rPr>
          <w:rFonts w:eastAsia="Batang"/>
          <w:bCs/>
          <w:color w:val="000000"/>
          <w:lang w:eastAsia="en-US"/>
        </w:rPr>
      </w:pPr>
      <w:r w:rsidRPr="00224493">
        <w:rPr>
          <w:rFonts w:eastAsia="Batang"/>
          <w:bCs/>
          <w:i/>
          <w:color w:val="000000"/>
          <w:lang w:eastAsia="en-US"/>
        </w:rPr>
        <w:t>Общие расстройства и нарушения в месте введения</w:t>
      </w:r>
      <w:r w:rsidR="0057565C" w:rsidRPr="00224493">
        <w:rPr>
          <w:rFonts w:eastAsia="Batang"/>
          <w:bCs/>
          <w:i/>
          <w:color w:val="000000"/>
          <w:lang w:eastAsia="en-US"/>
        </w:rPr>
        <w:t xml:space="preserve">: </w:t>
      </w:r>
      <w:r w:rsidR="0057565C" w:rsidRPr="00224493">
        <w:rPr>
          <w:rFonts w:eastAsia="Batang"/>
          <w:bCs/>
          <w:color w:val="000000"/>
          <w:lang w:eastAsia="en-US"/>
        </w:rPr>
        <w:t xml:space="preserve">очень часто – </w:t>
      </w:r>
      <w:r w:rsidR="00C856ED" w:rsidRPr="00224493">
        <w:rPr>
          <w:rFonts w:eastAsia="Batang"/>
          <w:bCs/>
          <w:color w:val="000000"/>
          <w:lang w:eastAsia="en-US"/>
        </w:rPr>
        <w:t xml:space="preserve">повышенная </w:t>
      </w:r>
      <w:r w:rsidR="0057565C" w:rsidRPr="00224493">
        <w:rPr>
          <w:rFonts w:eastAsia="Batang"/>
          <w:bCs/>
          <w:color w:val="000000"/>
          <w:lang w:eastAsia="en-US"/>
        </w:rPr>
        <w:t xml:space="preserve">утомляемость, </w:t>
      </w:r>
      <w:r w:rsidR="007B39ED" w:rsidRPr="00224493">
        <w:rPr>
          <w:rFonts w:eastAsia="Batang"/>
          <w:bCs/>
          <w:color w:val="000000"/>
          <w:lang w:eastAsia="en-US"/>
        </w:rPr>
        <w:t xml:space="preserve">воспаление слизистых оболочек различной локализации, </w:t>
      </w:r>
      <w:r w:rsidR="00FC6FB4" w:rsidRPr="00224493">
        <w:rPr>
          <w:rFonts w:eastAsia="Batang"/>
          <w:bCs/>
          <w:color w:val="000000"/>
          <w:lang w:eastAsia="en-US"/>
        </w:rPr>
        <w:t xml:space="preserve">астения, </w:t>
      </w:r>
      <w:r w:rsidR="007B39ED" w:rsidRPr="00224493">
        <w:rPr>
          <w:rFonts w:eastAsia="Batang"/>
          <w:bCs/>
          <w:color w:val="000000"/>
          <w:lang w:eastAsia="en-US"/>
        </w:rPr>
        <w:t xml:space="preserve">повышение температуры тела, </w:t>
      </w:r>
      <w:r w:rsidR="0057565C" w:rsidRPr="00224493">
        <w:rPr>
          <w:rFonts w:eastAsia="Batang"/>
          <w:bCs/>
          <w:color w:val="000000"/>
          <w:lang w:eastAsia="en-US"/>
        </w:rPr>
        <w:t>периферически</w:t>
      </w:r>
      <w:r w:rsidRPr="00224493">
        <w:rPr>
          <w:rFonts w:eastAsia="Batang"/>
          <w:bCs/>
          <w:color w:val="000000"/>
          <w:lang w:eastAsia="en-US"/>
        </w:rPr>
        <w:t>е</w:t>
      </w:r>
      <w:r w:rsidR="0057565C" w:rsidRPr="00224493">
        <w:rPr>
          <w:rFonts w:eastAsia="Batang"/>
          <w:bCs/>
          <w:color w:val="000000"/>
          <w:lang w:eastAsia="en-US"/>
        </w:rPr>
        <w:t xml:space="preserve"> отек</w:t>
      </w:r>
      <w:r w:rsidRPr="00224493">
        <w:rPr>
          <w:rFonts w:eastAsia="Batang"/>
          <w:bCs/>
          <w:color w:val="000000"/>
          <w:lang w:eastAsia="en-US"/>
        </w:rPr>
        <w:t>и</w:t>
      </w:r>
      <w:r w:rsidR="00BC5E55" w:rsidRPr="00224493">
        <w:rPr>
          <w:rFonts w:eastAsia="Batang"/>
          <w:bCs/>
          <w:color w:val="000000"/>
          <w:lang w:eastAsia="en-US"/>
        </w:rPr>
        <w:t>,</w:t>
      </w:r>
      <w:r w:rsidR="0057565C" w:rsidRPr="00224493">
        <w:rPr>
          <w:rFonts w:eastAsia="Batang"/>
          <w:bCs/>
          <w:color w:val="000000"/>
          <w:lang w:eastAsia="en-US"/>
        </w:rPr>
        <w:t xml:space="preserve"> </w:t>
      </w:r>
      <w:r w:rsidR="00A93C63" w:rsidRPr="00224493">
        <w:rPr>
          <w:rFonts w:eastAsia="Batang"/>
          <w:bCs/>
          <w:lang w:eastAsia="en-US"/>
        </w:rPr>
        <w:t>боль</w:t>
      </w:r>
      <w:r w:rsidR="0026104D" w:rsidRPr="00224493">
        <w:rPr>
          <w:rFonts w:eastAsia="Batang"/>
          <w:bCs/>
          <w:lang w:eastAsia="en-US"/>
        </w:rPr>
        <w:t xml:space="preserve"> (</w:t>
      </w:r>
      <w:r w:rsidR="0026104D" w:rsidRPr="00224493">
        <w:rPr>
          <w:rFonts w:eastAsia="SimSun"/>
          <w:noProof/>
        </w:rPr>
        <w:t>например, боль в животе, боль в конечностях, боль в спине, боль в груди, боль вверху живота, костная боль, костно-мышечная боль)</w:t>
      </w:r>
      <w:r w:rsidR="00A93C63" w:rsidRPr="00224493">
        <w:rPr>
          <w:rFonts w:eastAsia="Batang"/>
          <w:bCs/>
          <w:lang w:eastAsia="en-US"/>
        </w:rPr>
        <w:t>,</w:t>
      </w:r>
      <w:r w:rsidR="003830E9" w:rsidRPr="00224493">
        <w:rPr>
          <w:rFonts w:eastAsia="Batang"/>
          <w:bCs/>
          <w:lang w:eastAsia="en-US"/>
        </w:rPr>
        <w:t xml:space="preserve"> </w:t>
      </w:r>
      <w:r w:rsidR="003830E9" w:rsidRPr="00224493">
        <w:rPr>
          <w:rFonts w:eastAsia="Batang"/>
          <w:bCs/>
          <w:color w:val="000000"/>
          <w:lang w:eastAsia="en-US"/>
        </w:rPr>
        <w:t>назофарингит</w:t>
      </w:r>
      <w:r w:rsidR="00A93C63" w:rsidRPr="00224493">
        <w:rPr>
          <w:rFonts w:eastAsia="Batang"/>
          <w:bCs/>
          <w:color w:val="000000"/>
          <w:lang w:eastAsia="en-US"/>
        </w:rPr>
        <w:t xml:space="preserve">; часто </w:t>
      </w:r>
      <w:r w:rsidR="00581157" w:rsidRPr="00224493">
        <w:rPr>
          <w:rFonts w:eastAsia="Batang"/>
          <w:bCs/>
          <w:color w:val="000000"/>
          <w:lang w:eastAsia="en-US"/>
        </w:rPr>
        <w:t>–</w:t>
      </w:r>
      <w:r w:rsidR="00A93C63" w:rsidRPr="00224493">
        <w:rPr>
          <w:rFonts w:eastAsia="Batang"/>
          <w:bCs/>
          <w:color w:val="000000"/>
          <w:lang w:eastAsia="en-US"/>
        </w:rPr>
        <w:t xml:space="preserve"> </w:t>
      </w:r>
      <w:r w:rsidR="007B39ED" w:rsidRPr="00224493">
        <w:rPr>
          <w:rFonts w:eastAsia="Batang"/>
          <w:bCs/>
          <w:color w:val="000000"/>
          <w:lang w:eastAsia="en-US"/>
        </w:rPr>
        <w:t xml:space="preserve">инфекции верхних дыхательных путей, </w:t>
      </w:r>
      <w:r w:rsidR="00A93C63" w:rsidRPr="00224493">
        <w:rPr>
          <w:rFonts w:eastAsia="Batang"/>
          <w:bCs/>
          <w:color w:val="000000"/>
          <w:lang w:eastAsia="en-US"/>
        </w:rPr>
        <w:t>озноб</w:t>
      </w:r>
      <w:r w:rsidR="004C407A" w:rsidRPr="00224493">
        <w:rPr>
          <w:rFonts w:eastAsia="Batang"/>
          <w:bCs/>
          <w:color w:val="000000"/>
          <w:lang w:eastAsia="en-US"/>
        </w:rPr>
        <w:t>.</w:t>
      </w:r>
    </w:p>
    <w:p w14:paraId="2900BBCF" w14:textId="77777777" w:rsidR="00B678CA" w:rsidRPr="00DD31F9" w:rsidRDefault="00B678CA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>
        <w:rPr>
          <w:rFonts w:eastAsia="Batang"/>
          <w:iCs/>
          <w:color w:val="000000"/>
          <w:lang w:eastAsia="en-US"/>
        </w:rPr>
        <w:t>Ниже представлена более подробная информация об отдельных нежелательных реакциях.</w:t>
      </w:r>
    </w:p>
    <w:p w14:paraId="1C31B7F0" w14:textId="13E2BACA" w:rsidR="007A006B" w:rsidRDefault="00590E39" w:rsidP="00C957E2">
      <w:pPr>
        <w:suppressLineNumbers/>
        <w:tabs>
          <w:tab w:val="left" w:pos="567"/>
        </w:tabs>
        <w:spacing w:line="360" w:lineRule="auto"/>
        <w:rPr>
          <w:rFonts w:eastAsia="Batang"/>
          <w:i/>
          <w:iCs/>
          <w:color w:val="000000"/>
          <w:lang w:eastAsia="en-US"/>
        </w:rPr>
      </w:pPr>
      <w:r>
        <w:rPr>
          <w:rFonts w:eastAsia="Batang"/>
          <w:i/>
          <w:iCs/>
          <w:color w:val="000000"/>
          <w:lang w:eastAsia="en-US"/>
        </w:rPr>
        <w:t xml:space="preserve">Нарушение функции </w:t>
      </w:r>
      <w:r w:rsidR="007A006B">
        <w:rPr>
          <w:rFonts w:eastAsia="Batang"/>
          <w:i/>
          <w:iCs/>
          <w:color w:val="000000"/>
          <w:lang w:eastAsia="en-US"/>
        </w:rPr>
        <w:t>левого желудочка</w:t>
      </w:r>
    </w:p>
    <w:p w14:paraId="3A6A2D75" w14:textId="60CE6008" w:rsidR="007A006B" w:rsidRDefault="00A66D21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>
        <w:rPr>
          <w:rFonts w:eastAsia="Batang"/>
          <w:iCs/>
          <w:color w:val="000000"/>
          <w:lang w:eastAsia="en-US"/>
        </w:rPr>
        <w:t>У пациентов с метастатическим раком молочной железы ч</w:t>
      </w:r>
      <w:r w:rsidR="00617CEC">
        <w:rPr>
          <w:rFonts w:eastAsia="Batang"/>
          <w:iCs/>
          <w:color w:val="000000"/>
          <w:lang w:eastAsia="en-US"/>
        </w:rPr>
        <w:t>астота</w:t>
      </w:r>
      <w:r w:rsidR="006700A2">
        <w:rPr>
          <w:rFonts w:eastAsia="Batang"/>
          <w:iCs/>
          <w:color w:val="000000"/>
          <w:lang w:eastAsia="en-US"/>
        </w:rPr>
        <w:t xml:space="preserve"> </w:t>
      </w:r>
      <w:r w:rsidR="00590E39">
        <w:rPr>
          <w:rFonts w:eastAsia="Batang"/>
          <w:iCs/>
          <w:color w:val="000000"/>
          <w:lang w:eastAsia="en-US"/>
        </w:rPr>
        <w:t xml:space="preserve">нарушения функции </w:t>
      </w:r>
      <w:r w:rsidR="006700A2">
        <w:rPr>
          <w:rFonts w:eastAsia="Batang"/>
          <w:iCs/>
          <w:color w:val="000000"/>
          <w:lang w:eastAsia="en-US"/>
        </w:rPr>
        <w:t xml:space="preserve">левого желудочка </w:t>
      </w:r>
      <w:r w:rsidR="00617CEC">
        <w:rPr>
          <w:rFonts w:eastAsia="Batang"/>
          <w:iCs/>
          <w:color w:val="000000"/>
          <w:lang w:eastAsia="en-US"/>
        </w:rPr>
        <w:t xml:space="preserve">и </w:t>
      </w:r>
      <w:r w:rsidR="006C7377">
        <w:rPr>
          <w:rFonts w:eastAsia="Batang"/>
          <w:iCs/>
          <w:color w:val="000000"/>
          <w:lang w:eastAsia="en-US"/>
        </w:rPr>
        <w:t xml:space="preserve">частота </w:t>
      </w:r>
      <w:r w:rsidR="00590E39">
        <w:rPr>
          <w:rFonts w:eastAsia="Batang"/>
          <w:iCs/>
          <w:color w:val="000000"/>
          <w:lang w:eastAsia="en-US"/>
        </w:rPr>
        <w:t xml:space="preserve">симптоматического нарушения функции левого желудочка </w:t>
      </w:r>
      <w:r w:rsidR="006700A2">
        <w:rPr>
          <w:rFonts w:eastAsia="Batang"/>
          <w:iCs/>
          <w:color w:val="000000"/>
          <w:lang w:eastAsia="en-US"/>
        </w:rPr>
        <w:t xml:space="preserve">на фоне применения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6700A2">
        <w:rPr>
          <w:rFonts w:eastAsia="Batang"/>
          <w:iCs/>
          <w:color w:val="000000"/>
          <w:lang w:eastAsia="en-US"/>
        </w:rPr>
        <w:t xml:space="preserve"> в комбинации с </w:t>
      </w:r>
      <w:proofErr w:type="spellStart"/>
      <w:r w:rsidR="006700A2">
        <w:rPr>
          <w:rFonts w:eastAsia="Batang"/>
          <w:iCs/>
          <w:color w:val="000000"/>
          <w:lang w:eastAsia="en-US"/>
        </w:rPr>
        <w:t>трастузумабом</w:t>
      </w:r>
      <w:proofErr w:type="spellEnd"/>
      <w:r w:rsidR="006700A2">
        <w:rPr>
          <w:rFonts w:eastAsia="Batang"/>
          <w:iCs/>
          <w:color w:val="000000"/>
          <w:lang w:eastAsia="en-US"/>
        </w:rPr>
        <w:t xml:space="preserve"> и </w:t>
      </w:r>
      <w:proofErr w:type="spellStart"/>
      <w:r w:rsidR="006700A2">
        <w:rPr>
          <w:rFonts w:eastAsia="Batang"/>
          <w:iCs/>
          <w:color w:val="000000"/>
          <w:lang w:eastAsia="en-US"/>
        </w:rPr>
        <w:t>доцетакселом</w:t>
      </w:r>
      <w:proofErr w:type="spellEnd"/>
      <w:r w:rsidR="00617CEC">
        <w:rPr>
          <w:rFonts w:eastAsia="Batang"/>
          <w:iCs/>
          <w:color w:val="000000"/>
          <w:lang w:eastAsia="en-US"/>
        </w:rPr>
        <w:t xml:space="preserve"> (6.6% и 1.5%</w:t>
      </w:r>
      <w:r w:rsidR="00617CEC" w:rsidRPr="00A93D7A">
        <w:rPr>
          <w:rFonts w:eastAsia="Batang"/>
          <w:iCs/>
          <w:color w:val="000000"/>
          <w:lang w:eastAsia="en-US"/>
        </w:rPr>
        <w:t xml:space="preserve">, </w:t>
      </w:r>
      <w:r w:rsidR="00617CEC">
        <w:rPr>
          <w:rFonts w:eastAsia="Batang"/>
          <w:iCs/>
          <w:color w:val="000000"/>
          <w:lang w:eastAsia="en-US"/>
        </w:rPr>
        <w:t>соответственно) был</w:t>
      </w:r>
      <w:r w:rsidR="006C7377">
        <w:rPr>
          <w:rFonts w:eastAsia="Batang"/>
          <w:iCs/>
          <w:color w:val="000000"/>
          <w:lang w:eastAsia="en-US"/>
        </w:rPr>
        <w:t>и</w:t>
      </w:r>
      <w:r w:rsidR="00617CEC">
        <w:rPr>
          <w:rFonts w:eastAsia="Batang"/>
          <w:iCs/>
          <w:color w:val="000000"/>
          <w:lang w:eastAsia="en-US"/>
        </w:rPr>
        <w:t xml:space="preserve"> ниже</w:t>
      </w:r>
      <w:r w:rsidR="006700A2">
        <w:rPr>
          <w:rFonts w:eastAsia="Batang"/>
          <w:iCs/>
          <w:color w:val="000000"/>
          <w:lang w:eastAsia="en-US"/>
        </w:rPr>
        <w:t xml:space="preserve">, чем на фоне применения только трастузумаба и </w:t>
      </w:r>
      <w:proofErr w:type="spellStart"/>
      <w:r w:rsidR="006700A2">
        <w:rPr>
          <w:rFonts w:eastAsia="Batang"/>
          <w:iCs/>
          <w:color w:val="000000"/>
          <w:lang w:eastAsia="en-US"/>
        </w:rPr>
        <w:t>доцетаксела</w:t>
      </w:r>
      <w:proofErr w:type="spellEnd"/>
      <w:r w:rsidR="00F749C4">
        <w:rPr>
          <w:rFonts w:eastAsia="Batang"/>
          <w:iCs/>
          <w:color w:val="000000"/>
          <w:lang w:eastAsia="en-US"/>
        </w:rPr>
        <w:t xml:space="preserve"> (8</w:t>
      </w:r>
      <w:r w:rsidR="00F749C4" w:rsidRPr="003E6E6E">
        <w:rPr>
          <w:rFonts w:eastAsia="Batang"/>
          <w:iCs/>
          <w:color w:val="000000"/>
          <w:lang w:eastAsia="en-US"/>
        </w:rPr>
        <w:t>.6</w:t>
      </w:r>
      <w:r w:rsidR="00617CEC" w:rsidRPr="003E6E6E">
        <w:rPr>
          <w:rFonts w:eastAsia="Batang"/>
          <w:iCs/>
          <w:color w:val="000000"/>
          <w:lang w:eastAsia="en-US"/>
        </w:rPr>
        <w:t>%</w:t>
      </w:r>
      <w:r w:rsidR="00617CEC">
        <w:rPr>
          <w:rFonts w:eastAsia="Batang"/>
          <w:iCs/>
          <w:color w:val="000000"/>
          <w:lang w:eastAsia="en-US"/>
        </w:rPr>
        <w:t xml:space="preserve"> и 1.8%</w:t>
      </w:r>
      <w:r w:rsidR="00617CEC" w:rsidRPr="00A93D7A">
        <w:rPr>
          <w:rFonts w:eastAsia="Batang"/>
          <w:iCs/>
          <w:color w:val="000000"/>
          <w:lang w:eastAsia="en-US"/>
        </w:rPr>
        <w:t xml:space="preserve">, </w:t>
      </w:r>
      <w:r w:rsidR="00617CEC">
        <w:rPr>
          <w:rFonts w:eastAsia="Batang"/>
          <w:iCs/>
          <w:color w:val="000000"/>
          <w:lang w:eastAsia="en-US"/>
        </w:rPr>
        <w:t>соответственно)</w:t>
      </w:r>
      <w:r w:rsidR="006700A2">
        <w:rPr>
          <w:rFonts w:eastAsia="Batang"/>
          <w:iCs/>
          <w:color w:val="000000"/>
          <w:lang w:eastAsia="en-US"/>
        </w:rPr>
        <w:t>.</w:t>
      </w:r>
      <w:r w:rsidR="00617CEC">
        <w:rPr>
          <w:rFonts w:eastAsia="Batang"/>
          <w:iCs/>
          <w:color w:val="000000"/>
          <w:lang w:eastAsia="en-US"/>
        </w:rPr>
        <w:t xml:space="preserve"> </w:t>
      </w:r>
    </w:p>
    <w:p w14:paraId="165EAEFC" w14:textId="292D1017" w:rsidR="005E7142" w:rsidRDefault="005E7142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>
        <w:rPr>
          <w:rFonts w:eastAsia="Batang"/>
          <w:iCs/>
          <w:color w:val="000000"/>
          <w:lang w:eastAsia="en-US"/>
        </w:rPr>
        <w:t xml:space="preserve">На фоне </w:t>
      </w:r>
      <w:proofErr w:type="spellStart"/>
      <w:r>
        <w:rPr>
          <w:rFonts w:eastAsia="Batang"/>
          <w:iCs/>
          <w:color w:val="000000"/>
          <w:lang w:eastAsia="en-US"/>
        </w:rPr>
        <w:t>неоадъювантной</w:t>
      </w:r>
      <w:proofErr w:type="spellEnd"/>
      <w:r>
        <w:rPr>
          <w:rFonts w:eastAsia="Batang"/>
          <w:iCs/>
          <w:color w:val="000000"/>
          <w:lang w:eastAsia="en-US"/>
        </w:rPr>
        <w:t xml:space="preserve"> терапии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Batang"/>
          <w:iCs/>
          <w:color w:val="000000"/>
          <w:lang w:eastAsia="en-US"/>
        </w:rPr>
        <w:t xml:space="preserve"> в комбинации с </w:t>
      </w:r>
      <w:proofErr w:type="spellStart"/>
      <w:r>
        <w:rPr>
          <w:rFonts w:eastAsia="Batang"/>
          <w:iCs/>
          <w:color w:val="000000"/>
          <w:lang w:eastAsia="en-US"/>
        </w:rPr>
        <w:t>трастузумабом</w:t>
      </w:r>
      <w:proofErr w:type="spellEnd"/>
      <w:r>
        <w:rPr>
          <w:rFonts w:eastAsia="Batang"/>
          <w:iCs/>
          <w:color w:val="000000"/>
          <w:lang w:eastAsia="en-US"/>
        </w:rPr>
        <w:t xml:space="preserve"> и </w:t>
      </w:r>
      <w:proofErr w:type="spellStart"/>
      <w:r>
        <w:rPr>
          <w:rFonts w:eastAsia="Batang"/>
          <w:iCs/>
          <w:color w:val="000000"/>
          <w:lang w:eastAsia="en-US"/>
        </w:rPr>
        <w:t>доцетакселом</w:t>
      </w:r>
      <w:proofErr w:type="spellEnd"/>
      <w:r>
        <w:rPr>
          <w:rFonts w:eastAsia="Batang"/>
          <w:iCs/>
          <w:color w:val="000000"/>
          <w:lang w:eastAsia="en-US"/>
        </w:rPr>
        <w:t xml:space="preserve"> (4 предоперационных цикла) наблюд</w:t>
      </w:r>
      <w:r w:rsidR="005B504A">
        <w:rPr>
          <w:rFonts w:eastAsia="Batang"/>
          <w:iCs/>
          <w:color w:val="000000"/>
          <w:lang w:eastAsia="en-US"/>
        </w:rPr>
        <w:t xml:space="preserve">алась более высокая частота </w:t>
      </w:r>
      <w:r w:rsidR="00590E39">
        <w:rPr>
          <w:rFonts w:eastAsia="Batang"/>
          <w:iCs/>
          <w:color w:val="000000"/>
          <w:lang w:eastAsia="en-US"/>
        </w:rPr>
        <w:t>нарушения функции левого желудочка</w:t>
      </w:r>
      <w:r>
        <w:rPr>
          <w:rFonts w:eastAsia="Batang"/>
          <w:iCs/>
          <w:color w:val="000000"/>
          <w:lang w:eastAsia="en-US"/>
        </w:rPr>
        <w:t xml:space="preserve">, чем на фоне </w:t>
      </w:r>
      <w:proofErr w:type="spellStart"/>
      <w:r w:rsidR="00C00EC0">
        <w:rPr>
          <w:rFonts w:eastAsia="Batang"/>
          <w:iCs/>
          <w:color w:val="000000"/>
          <w:lang w:eastAsia="en-US"/>
        </w:rPr>
        <w:t>неоадъювантного</w:t>
      </w:r>
      <w:proofErr w:type="spellEnd"/>
      <w:r w:rsidR="00C00EC0">
        <w:rPr>
          <w:rFonts w:eastAsia="Batang"/>
          <w:iCs/>
          <w:color w:val="000000"/>
          <w:lang w:eastAsia="en-US"/>
        </w:rPr>
        <w:t xml:space="preserve"> </w:t>
      </w:r>
      <w:r>
        <w:rPr>
          <w:rFonts w:eastAsia="Batang"/>
          <w:iCs/>
          <w:color w:val="000000"/>
          <w:lang w:eastAsia="en-US"/>
        </w:rPr>
        <w:t xml:space="preserve">лечения только </w:t>
      </w:r>
      <w:proofErr w:type="spellStart"/>
      <w:r>
        <w:rPr>
          <w:rFonts w:eastAsia="Batang"/>
          <w:iCs/>
          <w:color w:val="000000"/>
          <w:lang w:eastAsia="en-US"/>
        </w:rPr>
        <w:t>трастузумабом</w:t>
      </w:r>
      <w:proofErr w:type="spellEnd"/>
      <w:r>
        <w:rPr>
          <w:rFonts w:eastAsia="Batang"/>
          <w:iCs/>
          <w:color w:val="000000"/>
          <w:lang w:eastAsia="en-US"/>
        </w:rPr>
        <w:t xml:space="preserve"> и </w:t>
      </w:r>
      <w:proofErr w:type="spellStart"/>
      <w:r>
        <w:rPr>
          <w:rFonts w:eastAsia="Batang"/>
          <w:iCs/>
          <w:color w:val="000000"/>
          <w:lang w:eastAsia="en-US"/>
        </w:rPr>
        <w:t>доцетакселом</w:t>
      </w:r>
      <w:proofErr w:type="spellEnd"/>
      <w:r>
        <w:rPr>
          <w:rFonts w:eastAsia="Batang"/>
          <w:iCs/>
          <w:color w:val="000000"/>
          <w:lang w:eastAsia="en-US"/>
        </w:rPr>
        <w:t xml:space="preserve"> (</w:t>
      </w:r>
      <w:r w:rsidR="006A5E93">
        <w:rPr>
          <w:rFonts w:eastAsia="Batang"/>
          <w:iCs/>
          <w:color w:val="000000"/>
          <w:lang w:eastAsia="en-US"/>
        </w:rPr>
        <w:t xml:space="preserve">7.5% и </w:t>
      </w:r>
      <w:r>
        <w:rPr>
          <w:rFonts w:eastAsia="Batang"/>
          <w:iCs/>
          <w:color w:val="000000"/>
          <w:lang w:eastAsia="en-US"/>
        </w:rPr>
        <w:t>1.9%</w:t>
      </w:r>
      <w:r w:rsidR="006A5E93">
        <w:rPr>
          <w:rFonts w:eastAsia="Batang"/>
          <w:iCs/>
          <w:color w:val="000000"/>
          <w:lang w:eastAsia="en-US"/>
        </w:rPr>
        <w:t>, соответственно</w:t>
      </w:r>
      <w:r>
        <w:rPr>
          <w:rFonts w:eastAsia="Batang"/>
          <w:iCs/>
          <w:color w:val="000000"/>
          <w:lang w:eastAsia="en-US"/>
        </w:rPr>
        <w:t xml:space="preserve">). При применении только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Batang"/>
          <w:iCs/>
          <w:color w:val="000000"/>
          <w:lang w:eastAsia="en-US"/>
        </w:rPr>
        <w:t xml:space="preserve"> и трастузумаба </w:t>
      </w:r>
      <w:r w:rsidR="006A5E93">
        <w:rPr>
          <w:rFonts w:eastAsia="Batang"/>
          <w:iCs/>
          <w:color w:val="000000"/>
          <w:lang w:eastAsia="en-US"/>
        </w:rPr>
        <w:t xml:space="preserve">зарегистрирован случай развития </w:t>
      </w:r>
      <w:r>
        <w:rPr>
          <w:rFonts w:eastAsia="Batang"/>
          <w:iCs/>
          <w:color w:val="000000"/>
          <w:lang w:eastAsia="en-US"/>
        </w:rPr>
        <w:t>симптоматическ</w:t>
      </w:r>
      <w:r w:rsidR="006A5E93">
        <w:rPr>
          <w:rFonts w:eastAsia="Batang"/>
          <w:iCs/>
          <w:color w:val="000000"/>
          <w:lang w:eastAsia="en-US"/>
        </w:rPr>
        <w:t>о</w:t>
      </w:r>
      <w:r w:rsidR="004D6A08">
        <w:rPr>
          <w:rFonts w:eastAsia="Batang"/>
          <w:iCs/>
          <w:color w:val="000000"/>
          <w:lang w:eastAsia="en-US"/>
        </w:rPr>
        <w:t>го нарушения функции левого желудочка</w:t>
      </w:r>
      <w:r w:rsidR="005C0AB7">
        <w:rPr>
          <w:rFonts w:eastAsia="Batang"/>
          <w:iCs/>
          <w:color w:val="000000"/>
          <w:lang w:eastAsia="en-US"/>
        </w:rPr>
        <w:t xml:space="preserve"> </w:t>
      </w:r>
      <w:r w:rsidR="00AD536C">
        <w:rPr>
          <w:rFonts w:eastAsia="Batang"/>
          <w:iCs/>
          <w:color w:val="000000"/>
          <w:lang w:eastAsia="en-US"/>
        </w:rPr>
        <w:t>(</w:t>
      </w:r>
      <w:r w:rsidR="000D37D8">
        <w:rPr>
          <w:rFonts w:eastAsia="Batang"/>
          <w:iCs/>
          <w:color w:val="000000"/>
          <w:lang w:eastAsia="en-US"/>
        </w:rPr>
        <w:t xml:space="preserve">застойная </w:t>
      </w:r>
      <w:r w:rsidR="00AD536C">
        <w:rPr>
          <w:rFonts w:eastAsia="Batang"/>
          <w:iCs/>
          <w:color w:val="000000"/>
          <w:lang w:eastAsia="en-US"/>
        </w:rPr>
        <w:t>сердечная недостаточность)</w:t>
      </w:r>
      <w:r>
        <w:rPr>
          <w:rFonts w:eastAsia="Batang"/>
          <w:iCs/>
          <w:color w:val="000000"/>
          <w:lang w:eastAsia="en-US"/>
        </w:rPr>
        <w:t xml:space="preserve">. </w:t>
      </w:r>
    </w:p>
    <w:p w14:paraId="496BA5FB" w14:textId="43FF73C8" w:rsidR="00AC7216" w:rsidRDefault="00E46DC1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>
        <w:rPr>
          <w:rFonts w:eastAsia="Batang"/>
          <w:iCs/>
          <w:color w:val="000000"/>
          <w:lang w:eastAsia="en-US"/>
        </w:rPr>
        <w:t xml:space="preserve">На фоне </w:t>
      </w:r>
      <w:proofErr w:type="spellStart"/>
      <w:r>
        <w:rPr>
          <w:rFonts w:eastAsia="Batang"/>
          <w:iCs/>
          <w:color w:val="000000"/>
          <w:lang w:eastAsia="en-US"/>
        </w:rPr>
        <w:t>неоадъюва</w:t>
      </w:r>
      <w:r w:rsidR="005B504A">
        <w:rPr>
          <w:rFonts w:eastAsia="Batang"/>
          <w:iCs/>
          <w:color w:val="000000"/>
          <w:lang w:eastAsia="en-US"/>
        </w:rPr>
        <w:t>н</w:t>
      </w:r>
      <w:r>
        <w:rPr>
          <w:rFonts w:eastAsia="Batang"/>
          <w:iCs/>
          <w:color w:val="000000"/>
          <w:lang w:eastAsia="en-US"/>
        </w:rPr>
        <w:t>тной</w:t>
      </w:r>
      <w:proofErr w:type="spellEnd"/>
      <w:r>
        <w:rPr>
          <w:rFonts w:eastAsia="Batang"/>
          <w:iCs/>
          <w:color w:val="000000"/>
          <w:lang w:eastAsia="en-US"/>
        </w:rPr>
        <w:t xml:space="preserve"> терапии </w:t>
      </w:r>
      <w:r w:rsidR="001F6D31">
        <w:rPr>
          <w:rFonts w:eastAsia="Batang"/>
          <w:iCs/>
          <w:color w:val="000000"/>
          <w:lang w:eastAsia="en-US"/>
        </w:rPr>
        <w:t xml:space="preserve">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1F6D31">
        <w:rPr>
          <w:rFonts w:eastAsia="Batang"/>
          <w:iCs/>
          <w:color w:val="000000"/>
          <w:lang w:eastAsia="en-US"/>
        </w:rPr>
        <w:t xml:space="preserve">, </w:t>
      </w:r>
      <w:proofErr w:type="spellStart"/>
      <w:r w:rsidR="001F6D31">
        <w:rPr>
          <w:rFonts w:eastAsia="Batang"/>
          <w:iCs/>
          <w:color w:val="000000"/>
          <w:lang w:eastAsia="en-US"/>
        </w:rPr>
        <w:t>трастузумабом</w:t>
      </w:r>
      <w:proofErr w:type="spellEnd"/>
      <w:r w:rsidR="001F6D31">
        <w:rPr>
          <w:rFonts w:eastAsia="Batang"/>
          <w:iCs/>
          <w:color w:val="000000"/>
          <w:lang w:eastAsia="en-US"/>
        </w:rPr>
        <w:t xml:space="preserve"> и </w:t>
      </w:r>
      <w:proofErr w:type="spellStart"/>
      <w:r w:rsidR="001F6D31">
        <w:rPr>
          <w:rFonts w:eastAsia="Batang"/>
          <w:iCs/>
          <w:color w:val="000000"/>
          <w:lang w:eastAsia="en-US"/>
        </w:rPr>
        <w:t>доцетакселом</w:t>
      </w:r>
      <w:proofErr w:type="spellEnd"/>
      <w:r w:rsidR="001F6D31">
        <w:rPr>
          <w:rFonts w:eastAsia="Batang"/>
          <w:iCs/>
          <w:color w:val="000000"/>
          <w:lang w:eastAsia="en-US"/>
        </w:rPr>
        <w:t xml:space="preserve"> в течение 3 циклов</w:t>
      </w:r>
      <w:r w:rsidR="005844C1">
        <w:rPr>
          <w:rFonts w:eastAsia="Batang"/>
          <w:iCs/>
          <w:color w:val="000000"/>
          <w:lang w:eastAsia="en-US"/>
        </w:rPr>
        <w:t xml:space="preserve"> перед операцией</w:t>
      </w:r>
      <w:r w:rsidR="00AC7216" w:rsidRPr="00DD31F9">
        <w:rPr>
          <w:rFonts w:eastAsia="Batang"/>
          <w:iCs/>
          <w:color w:val="000000"/>
          <w:lang w:eastAsia="en-US"/>
        </w:rPr>
        <w:t>,</w:t>
      </w:r>
      <w:r w:rsidR="001F6D31">
        <w:rPr>
          <w:rFonts w:eastAsia="Batang"/>
          <w:iCs/>
          <w:color w:val="000000"/>
          <w:lang w:eastAsia="en-US"/>
        </w:rPr>
        <w:t xml:space="preserve"> которым предшествовали 3 цикла терапии</w:t>
      </w:r>
      <w:r w:rsidR="008221BE" w:rsidRPr="00D074FE">
        <w:rPr>
          <w:rFonts w:eastAsia="Batang"/>
          <w:iCs/>
          <w:color w:val="000000"/>
          <w:lang w:eastAsia="en-US"/>
        </w:rPr>
        <w:t xml:space="preserve"> </w:t>
      </w:r>
      <w:r w:rsidR="008221BE">
        <w:rPr>
          <w:rFonts w:eastAsia="Batang"/>
          <w:iCs/>
          <w:color w:val="000000"/>
          <w:lang w:val="en-US" w:eastAsia="en-US"/>
        </w:rPr>
        <w:t>FEC</w:t>
      </w:r>
      <w:r w:rsidR="00AC7216">
        <w:rPr>
          <w:rFonts w:eastAsia="Batang"/>
          <w:iCs/>
          <w:color w:val="000000"/>
          <w:lang w:eastAsia="en-US"/>
        </w:rPr>
        <w:t>, ча</w:t>
      </w:r>
      <w:r w:rsidR="00581157">
        <w:rPr>
          <w:rFonts w:eastAsia="Batang"/>
          <w:iCs/>
          <w:color w:val="000000"/>
          <w:lang w:eastAsia="en-US"/>
        </w:rPr>
        <w:t xml:space="preserve">стота </w:t>
      </w:r>
      <w:r w:rsidR="00807C4F">
        <w:rPr>
          <w:rFonts w:eastAsia="Batang"/>
          <w:iCs/>
          <w:color w:val="000000"/>
          <w:lang w:eastAsia="en-US"/>
        </w:rPr>
        <w:t xml:space="preserve">нарушения функции левого желудочка </w:t>
      </w:r>
      <w:r w:rsidR="00581157">
        <w:rPr>
          <w:rFonts w:eastAsia="Batang"/>
          <w:iCs/>
          <w:color w:val="000000"/>
          <w:lang w:eastAsia="en-US"/>
        </w:rPr>
        <w:t>составила 9.3%,</w:t>
      </w:r>
      <w:r w:rsidR="00AD536C">
        <w:rPr>
          <w:rFonts w:eastAsia="Batang"/>
          <w:iCs/>
          <w:color w:val="000000"/>
          <w:lang w:eastAsia="en-US"/>
        </w:rPr>
        <w:t xml:space="preserve"> а</w:t>
      </w:r>
      <w:r w:rsidR="00AC7216">
        <w:rPr>
          <w:rFonts w:eastAsia="Batang"/>
          <w:iCs/>
          <w:color w:val="000000"/>
          <w:lang w:eastAsia="en-US"/>
        </w:rPr>
        <w:t xml:space="preserve"> </w:t>
      </w:r>
      <w:r w:rsidR="006A5E93">
        <w:rPr>
          <w:rFonts w:eastAsia="Batang"/>
          <w:iCs/>
          <w:color w:val="000000"/>
          <w:lang w:eastAsia="en-US"/>
        </w:rPr>
        <w:t xml:space="preserve">частота </w:t>
      </w:r>
      <w:r w:rsidR="00807C4F">
        <w:rPr>
          <w:rFonts w:eastAsia="Batang"/>
          <w:iCs/>
          <w:color w:val="000000"/>
          <w:lang w:eastAsia="en-US"/>
        </w:rPr>
        <w:t>симптоматического нарушения функции левого желудочка</w:t>
      </w:r>
      <w:r w:rsidR="006A5E93">
        <w:rPr>
          <w:rFonts w:eastAsia="Batang"/>
          <w:iCs/>
          <w:color w:val="000000"/>
          <w:lang w:eastAsia="en-US"/>
        </w:rPr>
        <w:t xml:space="preserve"> </w:t>
      </w:r>
      <w:r w:rsidR="00581157">
        <w:rPr>
          <w:rFonts w:eastAsia="Batang"/>
          <w:iCs/>
          <w:color w:val="000000"/>
          <w:lang w:eastAsia="en-US"/>
        </w:rPr>
        <w:t>–</w:t>
      </w:r>
      <w:r w:rsidR="006A5E93">
        <w:rPr>
          <w:rFonts w:eastAsia="Batang"/>
          <w:iCs/>
          <w:color w:val="000000"/>
          <w:lang w:eastAsia="en-US"/>
        </w:rPr>
        <w:t xml:space="preserve"> 1.3%.</w:t>
      </w:r>
    </w:p>
    <w:p w14:paraId="41CB5D02" w14:textId="4F7632E1" w:rsidR="00617CEC" w:rsidRPr="005D26FB" w:rsidRDefault="00AC7216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>
        <w:rPr>
          <w:rFonts w:eastAsia="Batang"/>
          <w:iCs/>
          <w:color w:val="000000"/>
          <w:lang w:eastAsia="en-US"/>
        </w:rPr>
        <w:lastRenderedPageBreak/>
        <w:t xml:space="preserve">На фоне </w:t>
      </w:r>
      <w:proofErr w:type="spellStart"/>
      <w:r>
        <w:rPr>
          <w:rFonts w:eastAsia="Batang"/>
          <w:iCs/>
          <w:color w:val="000000"/>
          <w:lang w:eastAsia="en-US"/>
        </w:rPr>
        <w:t>неоадъювантной</w:t>
      </w:r>
      <w:proofErr w:type="spellEnd"/>
      <w:r>
        <w:rPr>
          <w:rFonts w:eastAsia="Batang"/>
          <w:iCs/>
          <w:color w:val="000000"/>
          <w:lang w:eastAsia="en-US"/>
        </w:rPr>
        <w:t xml:space="preserve"> терапии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rFonts w:eastAsia="Batang"/>
          <w:iCs/>
          <w:color w:val="000000"/>
          <w:lang w:eastAsia="en-US"/>
        </w:rPr>
        <w:t xml:space="preserve">, </w:t>
      </w:r>
      <w:proofErr w:type="spellStart"/>
      <w:r>
        <w:rPr>
          <w:rFonts w:eastAsia="Batang"/>
          <w:iCs/>
          <w:color w:val="000000"/>
          <w:lang w:eastAsia="en-US"/>
        </w:rPr>
        <w:t>трастузум</w:t>
      </w:r>
      <w:r w:rsidR="00040E2B">
        <w:rPr>
          <w:rFonts w:eastAsia="Batang"/>
          <w:iCs/>
          <w:color w:val="000000"/>
          <w:lang w:eastAsia="en-US"/>
        </w:rPr>
        <w:t>а</w:t>
      </w:r>
      <w:r>
        <w:rPr>
          <w:rFonts w:eastAsia="Batang"/>
          <w:iCs/>
          <w:color w:val="000000"/>
          <w:lang w:eastAsia="en-US"/>
        </w:rPr>
        <w:t>бом</w:t>
      </w:r>
      <w:proofErr w:type="spellEnd"/>
      <w:r>
        <w:rPr>
          <w:rFonts w:eastAsia="Batang"/>
          <w:iCs/>
          <w:color w:val="000000"/>
          <w:lang w:eastAsia="en-US"/>
        </w:rPr>
        <w:t xml:space="preserve">, </w:t>
      </w:r>
      <w:proofErr w:type="spellStart"/>
      <w:r>
        <w:rPr>
          <w:rFonts w:eastAsia="Batang"/>
          <w:iCs/>
          <w:color w:val="000000"/>
          <w:lang w:eastAsia="en-US"/>
        </w:rPr>
        <w:t>доцетакселом</w:t>
      </w:r>
      <w:proofErr w:type="spellEnd"/>
      <w:r>
        <w:rPr>
          <w:rFonts w:eastAsia="Batang"/>
          <w:iCs/>
          <w:color w:val="000000"/>
          <w:lang w:eastAsia="en-US"/>
        </w:rPr>
        <w:t xml:space="preserve"> и </w:t>
      </w:r>
      <w:proofErr w:type="spellStart"/>
      <w:r>
        <w:rPr>
          <w:rFonts w:eastAsia="Batang"/>
          <w:iCs/>
          <w:color w:val="000000"/>
          <w:lang w:eastAsia="en-US"/>
        </w:rPr>
        <w:t>карбоплатином</w:t>
      </w:r>
      <w:proofErr w:type="spellEnd"/>
      <w:r>
        <w:rPr>
          <w:rFonts w:eastAsia="Batang"/>
          <w:iCs/>
          <w:color w:val="000000"/>
          <w:lang w:eastAsia="en-US"/>
        </w:rPr>
        <w:t xml:space="preserve"> частота </w:t>
      </w:r>
      <w:r w:rsidR="00807C4F">
        <w:rPr>
          <w:rFonts w:eastAsia="Batang"/>
          <w:iCs/>
          <w:color w:val="000000"/>
          <w:lang w:eastAsia="en-US"/>
        </w:rPr>
        <w:t xml:space="preserve">нарушения функции левого желудочка </w:t>
      </w:r>
      <w:r>
        <w:rPr>
          <w:rFonts w:eastAsia="Batang"/>
          <w:iCs/>
          <w:color w:val="000000"/>
          <w:lang w:eastAsia="en-US"/>
        </w:rPr>
        <w:t>составила 6.6%,</w:t>
      </w:r>
      <w:r w:rsidR="005B504A">
        <w:rPr>
          <w:rFonts w:eastAsia="Batang"/>
          <w:iCs/>
          <w:color w:val="000000"/>
          <w:lang w:eastAsia="en-US"/>
        </w:rPr>
        <w:t xml:space="preserve"> а частота </w:t>
      </w:r>
      <w:r w:rsidR="00807C4F">
        <w:rPr>
          <w:rFonts w:eastAsia="Batang"/>
          <w:iCs/>
          <w:color w:val="000000"/>
          <w:lang w:eastAsia="en-US"/>
        </w:rPr>
        <w:t>симптоматического нарушения функции левого желудочка</w:t>
      </w:r>
      <w:r>
        <w:rPr>
          <w:rFonts w:eastAsia="Batang"/>
          <w:iCs/>
          <w:color w:val="000000"/>
          <w:lang w:eastAsia="en-US"/>
        </w:rPr>
        <w:t xml:space="preserve"> </w:t>
      </w:r>
      <w:r w:rsidRPr="005D26FB">
        <w:rPr>
          <w:rFonts w:eastAsia="Batang"/>
          <w:iCs/>
          <w:color w:val="000000"/>
          <w:lang w:eastAsia="en-US"/>
        </w:rPr>
        <w:t xml:space="preserve">составила 1.3%. </w:t>
      </w:r>
    </w:p>
    <w:p w14:paraId="31BBF2DD" w14:textId="048AC4DF" w:rsidR="00F52799" w:rsidRPr="005D26FB" w:rsidRDefault="00A222C6" w:rsidP="00C957E2">
      <w:pPr>
        <w:suppressLineNumbers/>
        <w:tabs>
          <w:tab w:val="left" w:pos="567"/>
        </w:tabs>
        <w:spacing w:line="360" w:lineRule="auto"/>
      </w:pPr>
      <w:r w:rsidRPr="005D26FB">
        <w:rPr>
          <w:rFonts w:eastAsia="Batang"/>
          <w:iCs/>
          <w:color w:val="000000"/>
          <w:lang w:eastAsia="en-US"/>
        </w:rPr>
        <w:t xml:space="preserve">На фоне </w:t>
      </w:r>
      <w:proofErr w:type="spellStart"/>
      <w:r w:rsidRPr="005D26FB">
        <w:rPr>
          <w:rFonts w:eastAsia="Batang"/>
          <w:iCs/>
          <w:color w:val="000000"/>
          <w:lang w:eastAsia="en-US"/>
        </w:rPr>
        <w:t>неоадъювантной</w:t>
      </w:r>
      <w:proofErr w:type="spellEnd"/>
      <w:r w:rsidRPr="005D26FB">
        <w:rPr>
          <w:rFonts w:eastAsia="Batang"/>
          <w:iCs/>
          <w:color w:val="000000"/>
          <w:lang w:eastAsia="en-US"/>
        </w:rPr>
        <w:t xml:space="preserve"> терапии </w:t>
      </w:r>
      <w:r w:rsidR="0077591F" w:rsidRPr="005D26FB">
        <w:rPr>
          <w:rFonts w:eastAsia="Batang"/>
          <w:iCs/>
          <w:color w:val="000000"/>
          <w:lang w:eastAsia="en-US"/>
        </w:rPr>
        <w:t>препаратом</w:t>
      </w:r>
      <w:r w:rsidR="0077591F" w:rsidRPr="005D26FB">
        <w:t xml:space="preserve"> </w:t>
      </w:r>
      <w:proofErr w:type="spellStart"/>
      <w:r w:rsidR="0077591F" w:rsidRPr="005D26FB">
        <w:t>Перьета</w:t>
      </w:r>
      <w:proofErr w:type="spellEnd"/>
      <w:r w:rsidR="0077591F" w:rsidRPr="005D26FB">
        <w:rPr>
          <w:vertAlign w:val="superscript"/>
        </w:rPr>
        <w:t xml:space="preserve">® </w:t>
      </w:r>
      <w:r w:rsidR="0077591F" w:rsidRPr="005D26FB">
        <w:t>в комбинации</w:t>
      </w:r>
      <w:r w:rsidR="0077591F" w:rsidRPr="005D26FB">
        <w:rPr>
          <w:rFonts w:eastAsia="Batang"/>
          <w:iCs/>
          <w:color w:val="000000"/>
          <w:lang w:eastAsia="en-US"/>
        </w:rPr>
        <w:t xml:space="preserve"> с </w:t>
      </w:r>
      <w:proofErr w:type="spellStart"/>
      <w:r w:rsidR="0077591F" w:rsidRPr="005D26FB">
        <w:t>трастузумабом</w:t>
      </w:r>
      <w:proofErr w:type="spellEnd"/>
      <w:r w:rsidR="0077591F" w:rsidRPr="005D26FB">
        <w:t xml:space="preserve"> и </w:t>
      </w:r>
      <w:proofErr w:type="spellStart"/>
      <w:r w:rsidR="0077591F" w:rsidRPr="005D26FB">
        <w:t>паклитакселом</w:t>
      </w:r>
      <w:proofErr w:type="spellEnd"/>
      <w:r w:rsidR="0077591F" w:rsidRPr="005D26FB">
        <w:rPr>
          <w:rFonts w:eastAsia="Batang"/>
        </w:rPr>
        <w:t xml:space="preserve"> после предшествующей химиотерапии </w:t>
      </w:r>
      <w:proofErr w:type="spellStart"/>
      <w:r w:rsidR="00512751" w:rsidRPr="005D26FB">
        <w:rPr>
          <w:rFonts w:eastAsia="Batang"/>
        </w:rPr>
        <w:t>доксорубицином</w:t>
      </w:r>
      <w:proofErr w:type="spellEnd"/>
      <w:r w:rsidR="00512751" w:rsidRPr="005D26FB">
        <w:rPr>
          <w:rFonts w:eastAsia="Batang"/>
        </w:rPr>
        <w:t xml:space="preserve"> и </w:t>
      </w:r>
      <w:proofErr w:type="spellStart"/>
      <w:r w:rsidR="00512751" w:rsidRPr="005D26FB">
        <w:rPr>
          <w:rFonts w:eastAsia="Batang"/>
        </w:rPr>
        <w:t>циклофосфамидом</w:t>
      </w:r>
      <w:proofErr w:type="spellEnd"/>
      <w:r w:rsidR="00512751" w:rsidRPr="005D26FB">
        <w:rPr>
          <w:rFonts w:eastAsia="Batang"/>
        </w:rPr>
        <w:t xml:space="preserve"> с </w:t>
      </w:r>
      <w:r w:rsidR="0077591F" w:rsidRPr="005D26FB">
        <w:rPr>
          <w:rFonts w:eastAsia="Batang"/>
        </w:rPr>
        <w:t xml:space="preserve">сокращенными интервалами </w:t>
      </w:r>
      <w:r w:rsidRPr="005D26FB">
        <w:rPr>
          <w:rFonts w:eastAsia="Batang"/>
        </w:rPr>
        <w:t>частота симптоматическо</w:t>
      </w:r>
      <w:r w:rsidR="00807C4F">
        <w:rPr>
          <w:rFonts w:eastAsia="Batang"/>
        </w:rPr>
        <w:t xml:space="preserve">го </w:t>
      </w:r>
      <w:r w:rsidR="00807C4F">
        <w:rPr>
          <w:rFonts w:eastAsia="Batang"/>
          <w:iCs/>
          <w:color w:val="000000"/>
          <w:lang w:eastAsia="en-US"/>
        </w:rPr>
        <w:t xml:space="preserve">нарушения функции левого желудочка </w:t>
      </w:r>
      <w:r w:rsidRPr="005D26FB">
        <w:rPr>
          <w:rFonts w:eastAsia="Batang"/>
          <w:lang w:val="en-US"/>
        </w:rPr>
        <w:t>III</w:t>
      </w:r>
      <w:r w:rsidRPr="005D26FB">
        <w:rPr>
          <w:rFonts w:eastAsia="Batang"/>
        </w:rPr>
        <w:t>/</w:t>
      </w:r>
      <w:r w:rsidRPr="005D26FB">
        <w:rPr>
          <w:rFonts w:eastAsia="Batang"/>
          <w:lang w:val="en-US"/>
        </w:rPr>
        <w:t>IV</w:t>
      </w:r>
      <w:r w:rsidRPr="005D26FB">
        <w:rPr>
          <w:rFonts w:eastAsia="Batang"/>
        </w:rPr>
        <w:t xml:space="preserve"> класса по </w:t>
      </w:r>
      <w:r w:rsidR="000F4682" w:rsidRPr="005D26FB">
        <w:rPr>
          <w:rFonts w:eastAsia="Batang"/>
        </w:rPr>
        <w:t>классификации Нью-Йоркск</w:t>
      </w:r>
      <w:r w:rsidR="00004C53" w:rsidRPr="005D26FB">
        <w:rPr>
          <w:rFonts w:eastAsia="Batang"/>
        </w:rPr>
        <w:t>ой</w:t>
      </w:r>
      <w:r w:rsidR="000F4682" w:rsidRPr="005D26FB">
        <w:rPr>
          <w:rFonts w:eastAsia="Batang"/>
        </w:rPr>
        <w:t xml:space="preserve"> кардиологической ассоциации (</w:t>
      </w:r>
      <w:r w:rsidRPr="005D26FB">
        <w:rPr>
          <w:rFonts w:eastAsia="Batang"/>
          <w:lang w:val="en-US"/>
        </w:rPr>
        <w:t>NYHA</w:t>
      </w:r>
      <w:r w:rsidR="000F4682" w:rsidRPr="005D26FB">
        <w:rPr>
          <w:rFonts w:eastAsia="Batang"/>
        </w:rPr>
        <w:t>)</w:t>
      </w:r>
      <w:r w:rsidRPr="005D26FB">
        <w:rPr>
          <w:rFonts w:eastAsia="Batang"/>
        </w:rPr>
        <w:t xml:space="preserve"> (застойной сердечной недостаточности </w:t>
      </w:r>
      <w:r w:rsidR="000F4682" w:rsidRPr="005D26FB">
        <w:rPr>
          <w:rFonts w:eastAsia="Batang"/>
        </w:rPr>
        <w:t>по классификации</w:t>
      </w:r>
      <w:r w:rsidRPr="005D26FB">
        <w:rPr>
          <w:rFonts w:eastAsia="Batang"/>
        </w:rPr>
        <w:t xml:space="preserve"> </w:t>
      </w:r>
      <w:r w:rsidRPr="005D26FB">
        <w:rPr>
          <w:rFonts w:eastAsia="Batang"/>
          <w:lang w:val="en-US"/>
        </w:rPr>
        <w:t>NCI</w:t>
      </w:r>
      <w:r w:rsidRPr="005D26FB">
        <w:rPr>
          <w:rFonts w:eastAsia="Batang"/>
        </w:rPr>
        <w:t>-</w:t>
      </w:r>
      <w:r w:rsidRPr="005D26FB">
        <w:rPr>
          <w:rFonts w:eastAsia="Batang"/>
          <w:lang w:val="en-US"/>
        </w:rPr>
        <w:t>CTCAE</w:t>
      </w:r>
      <w:r w:rsidRPr="005D26FB">
        <w:rPr>
          <w:rFonts w:eastAsia="Batang"/>
        </w:rPr>
        <w:t>, верси</w:t>
      </w:r>
      <w:r w:rsidR="001C255E" w:rsidRPr="005D26FB">
        <w:rPr>
          <w:rFonts w:eastAsia="Batang"/>
        </w:rPr>
        <w:t>я</w:t>
      </w:r>
      <w:r w:rsidRPr="005D26FB">
        <w:rPr>
          <w:rFonts w:eastAsia="Batang"/>
        </w:rPr>
        <w:t xml:space="preserve"> 4) составила 1.5%</w:t>
      </w:r>
      <w:r w:rsidR="00E31D61" w:rsidRPr="005D26FB">
        <w:t xml:space="preserve">. </w:t>
      </w:r>
    </w:p>
    <w:p w14:paraId="1260D9A9" w14:textId="73615EA2" w:rsidR="00CD6964" w:rsidRPr="005D26FB" w:rsidRDefault="00E31D61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 w:rsidRPr="005D26FB">
        <w:t xml:space="preserve">Случаев </w:t>
      </w:r>
      <w:r w:rsidR="00807C4F" w:rsidRPr="005D26FB">
        <w:t>симптоматическо</w:t>
      </w:r>
      <w:r w:rsidR="00807C4F">
        <w:t xml:space="preserve">го </w:t>
      </w:r>
      <w:r w:rsidR="00807C4F">
        <w:rPr>
          <w:rFonts w:eastAsia="Batang"/>
          <w:iCs/>
          <w:color w:val="000000"/>
          <w:lang w:eastAsia="en-US"/>
        </w:rPr>
        <w:t>нарушения функции левого желудочка</w:t>
      </w:r>
      <w:r w:rsidR="005C0AB7">
        <w:rPr>
          <w:rFonts w:eastAsia="Batang"/>
          <w:iCs/>
          <w:color w:val="000000"/>
          <w:lang w:eastAsia="en-US"/>
        </w:rPr>
        <w:t xml:space="preserve"> </w:t>
      </w:r>
      <w:r w:rsidRPr="005D26FB">
        <w:t xml:space="preserve">у пациентов, получавших </w:t>
      </w:r>
      <w:r w:rsidRPr="005D26FB">
        <w:rPr>
          <w:rFonts w:eastAsia="Batang"/>
          <w:iCs/>
          <w:color w:val="000000"/>
          <w:lang w:eastAsia="en-US"/>
        </w:rPr>
        <w:t xml:space="preserve">терапию препаратом </w:t>
      </w:r>
      <w:proofErr w:type="spellStart"/>
      <w:r w:rsidRPr="005D26FB">
        <w:t>Перьета</w:t>
      </w:r>
      <w:proofErr w:type="spellEnd"/>
      <w:r w:rsidRPr="005D26FB">
        <w:rPr>
          <w:vertAlign w:val="superscript"/>
        </w:rPr>
        <w:t>®</w:t>
      </w:r>
      <w:r w:rsidRPr="005D26FB">
        <w:rPr>
          <w:rFonts w:eastAsia="Batang"/>
          <w:iCs/>
          <w:color w:val="000000"/>
          <w:lang w:eastAsia="en-US"/>
        </w:rPr>
        <w:t xml:space="preserve">, </w:t>
      </w:r>
      <w:proofErr w:type="spellStart"/>
      <w:r w:rsidRPr="005D26FB">
        <w:rPr>
          <w:rFonts w:eastAsia="Batang"/>
          <w:iCs/>
          <w:color w:val="000000"/>
          <w:lang w:eastAsia="en-US"/>
        </w:rPr>
        <w:t>трастузумабом</w:t>
      </w:r>
      <w:proofErr w:type="spellEnd"/>
      <w:r w:rsidRPr="005D26FB">
        <w:rPr>
          <w:rFonts w:eastAsia="Batang"/>
          <w:iCs/>
          <w:color w:val="000000"/>
          <w:lang w:eastAsia="en-US"/>
        </w:rPr>
        <w:t xml:space="preserve"> и </w:t>
      </w:r>
      <w:proofErr w:type="spellStart"/>
      <w:r w:rsidRPr="005D26FB">
        <w:rPr>
          <w:rFonts w:eastAsia="Batang"/>
          <w:iCs/>
          <w:color w:val="000000"/>
          <w:lang w:eastAsia="en-US"/>
        </w:rPr>
        <w:t>доцетакселом</w:t>
      </w:r>
      <w:proofErr w:type="spellEnd"/>
      <w:r w:rsidRPr="005D26FB">
        <w:rPr>
          <w:rFonts w:eastAsia="Batang"/>
          <w:iCs/>
          <w:color w:val="000000"/>
          <w:lang w:eastAsia="en-US"/>
        </w:rPr>
        <w:t xml:space="preserve"> в течение 4 циклов перед операцией, которым пр</w:t>
      </w:r>
      <w:r w:rsidR="008221BE" w:rsidRPr="005D26FB">
        <w:rPr>
          <w:rFonts w:eastAsia="Batang"/>
          <w:iCs/>
          <w:color w:val="000000"/>
          <w:lang w:eastAsia="en-US"/>
        </w:rPr>
        <w:t xml:space="preserve">едшествовали 4 цикла терапии </w:t>
      </w:r>
      <w:r w:rsidR="008221BE" w:rsidRPr="005D26FB">
        <w:rPr>
          <w:rFonts w:eastAsia="Batang"/>
          <w:iCs/>
          <w:color w:val="000000"/>
          <w:lang w:val="en-US" w:eastAsia="en-US"/>
        </w:rPr>
        <w:t>FEC</w:t>
      </w:r>
      <w:r w:rsidR="00A30EC1" w:rsidRPr="005D26FB">
        <w:rPr>
          <w:rFonts w:eastAsia="Batang"/>
          <w:iCs/>
          <w:color w:val="000000"/>
          <w:lang w:eastAsia="en-US"/>
        </w:rPr>
        <w:t>,</w:t>
      </w:r>
      <w:r w:rsidRPr="005D26FB">
        <w:rPr>
          <w:rFonts w:eastAsia="Batang"/>
          <w:iCs/>
          <w:color w:val="000000"/>
          <w:lang w:eastAsia="en-US"/>
        </w:rPr>
        <w:t xml:space="preserve"> отмечено не было (0%)</w:t>
      </w:r>
      <w:r w:rsidR="000F4682" w:rsidRPr="005D26FB">
        <w:rPr>
          <w:rFonts w:eastAsia="Batang"/>
          <w:iCs/>
          <w:color w:val="000000"/>
          <w:lang w:eastAsia="en-US"/>
        </w:rPr>
        <w:t xml:space="preserve">. </w:t>
      </w:r>
    </w:p>
    <w:p w14:paraId="288AE5EA" w14:textId="57BB8CCC" w:rsidR="00A222C6" w:rsidRDefault="000F4682" w:rsidP="00C957E2">
      <w:pPr>
        <w:suppressLineNumbers/>
        <w:tabs>
          <w:tab w:val="left" w:pos="567"/>
        </w:tabs>
        <w:spacing w:line="360" w:lineRule="auto"/>
        <w:rPr>
          <w:rFonts w:eastAsia="Batang"/>
          <w:iCs/>
          <w:color w:val="000000"/>
          <w:lang w:eastAsia="en-US"/>
        </w:rPr>
      </w:pPr>
      <w:r w:rsidRPr="005D26FB">
        <w:rPr>
          <w:rFonts w:eastAsia="Batang"/>
          <w:iCs/>
          <w:color w:val="000000"/>
          <w:lang w:eastAsia="en-US"/>
        </w:rPr>
        <w:t xml:space="preserve">Частота </w:t>
      </w:r>
      <w:r w:rsidR="00807C4F" w:rsidRPr="005D26FB">
        <w:rPr>
          <w:rFonts w:eastAsia="Batang"/>
          <w:iCs/>
          <w:color w:val="000000"/>
          <w:lang w:eastAsia="en-US"/>
        </w:rPr>
        <w:t>бессимптомно</w:t>
      </w:r>
      <w:r w:rsidR="00807C4F">
        <w:rPr>
          <w:rFonts w:eastAsia="Batang"/>
          <w:iCs/>
          <w:color w:val="000000"/>
          <w:lang w:eastAsia="en-US"/>
        </w:rPr>
        <w:t>го нарушения функции левого желудочка</w:t>
      </w:r>
      <w:r w:rsidRPr="005D26FB">
        <w:rPr>
          <w:rFonts w:eastAsia="Batang"/>
          <w:iCs/>
          <w:color w:val="000000"/>
          <w:lang w:eastAsia="en-US"/>
        </w:rPr>
        <w:t xml:space="preserve"> (</w:t>
      </w:r>
      <w:r w:rsidR="00E97D9F" w:rsidRPr="005D26FB">
        <w:rPr>
          <w:rFonts w:eastAsia="Batang"/>
          <w:iCs/>
          <w:color w:val="000000"/>
          <w:lang w:eastAsia="en-US"/>
        </w:rPr>
        <w:t xml:space="preserve">предпочтительный термин - </w:t>
      </w:r>
      <w:r w:rsidRPr="005D26FB">
        <w:rPr>
          <w:rFonts w:eastAsia="Batang"/>
          <w:iCs/>
          <w:color w:val="000000"/>
          <w:lang w:eastAsia="en-US"/>
        </w:rPr>
        <w:t xml:space="preserve">снижение фракции выброса </w:t>
      </w:r>
      <w:r w:rsidRPr="005D26FB">
        <w:rPr>
          <w:rFonts w:eastAsia="Batang"/>
        </w:rPr>
        <w:t xml:space="preserve">по классификации </w:t>
      </w:r>
      <w:r w:rsidRPr="005D26FB">
        <w:rPr>
          <w:rFonts w:eastAsia="Batang"/>
          <w:lang w:val="en-US"/>
        </w:rPr>
        <w:t>NCI</w:t>
      </w:r>
      <w:r w:rsidRPr="005D26FB">
        <w:rPr>
          <w:rFonts w:eastAsia="Batang"/>
        </w:rPr>
        <w:t>-</w:t>
      </w:r>
      <w:r w:rsidRPr="005D26FB">
        <w:rPr>
          <w:rFonts w:eastAsia="Batang"/>
          <w:lang w:val="en-US"/>
        </w:rPr>
        <w:t>CTCAE</w:t>
      </w:r>
      <w:r w:rsidRPr="005D26FB">
        <w:rPr>
          <w:rFonts w:eastAsia="Batang"/>
        </w:rPr>
        <w:t>, верси</w:t>
      </w:r>
      <w:r w:rsidR="001C255E" w:rsidRPr="005D26FB">
        <w:rPr>
          <w:rFonts w:eastAsia="Batang"/>
        </w:rPr>
        <w:t>я</w:t>
      </w:r>
      <w:r w:rsidRPr="005D26FB">
        <w:rPr>
          <w:rFonts w:eastAsia="Batang"/>
        </w:rPr>
        <w:t xml:space="preserve"> 4</w:t>
      </w:r>
      <w:r w:rsidR="001C255E" w:rsidRPr="005D26FB">
        <w:rPr>
          <w:rFonts w:eastAsia="Batang"/>
        </w:rPr>
        <w:t>)</w:t>
      </w:r>
      <w:r w:rsidR="00F52DCF" w:rsidRPr="005D26FB">
        <w:rPr>
          <w:rFonts w:eastAsia="Batang"/>
        </w:rPr>
        <w:t xml:space="preserve"> составила 7% у пациентов, получавших химиотерапию </w:t>
      </w:r>
      <w:proofErr w:type="spellStart"/>
      <w:r w:rsidR="00512751" w:rsidRPr="005D26FB">
        <w:rPr>
          <w:rFonts w:eastAsia="Batang"/>
        </w:rPr>
        <w:t>доксорубицином</w:t>
      </w:r>
      <w:proofErr w:type="spellEnd"/>
      <w:r w:rsidR="00512751" w:rsidRPr="005D26FB">
        <w:rPr>
          <w:rFonts w:eastAsia="Batang"/>
        </w:rPr>
        <w:t xml:space="preserve"> и </w:t>
      </w:r>
      <w:proofErr w:type="spellStart"/>
      <w:r w:rsidR="00512751" w:rsidRPr="005D26FB">
        <w:rPr>
          <w:rFonts w:eastAsia="Batang"/>
        </w:rPr>
        <w:t>циклофосфамидом</w:t>
      </w:r>
      <w:proofErr w:type="spellEnd"/>
      <w:r w:rsidR="00512751" w:rsidRPr="005D26FB">
        <w:rPr>
          <w:rFonts w:eastAsia="Batang"/>
        </w:rPr>
        <w:t xml:space="preserve"> с</w:t>
      </w:r>
      <w:r w:rsidR="00F52DCF" w:rsidRPr="005D26FB">
        <w:rPr>
          <w:rFonts w:eastAsia="Batang"/>
        </w:rPr>
        <w:t xml:space="preserve"> сокращенными интервалами, а затем препарат </w:t>
      </w:r>
      <w:proofErr w:type="spellStart"/>
      <w:r w:rsidR="00F52DCF" w:rsidRPr="005D26FB">
        <w:rPr>
          <w:rFonts w:eastAsia="Batang"/>
        </w:rPr>
        <w:t>Перьета</w:t>
      </w:r>
      <w:proofErr w:type="spellEnd"/>
      <w:r w:rsidR="00F52DCF" w:rsidRPr="005D26FB">
        <w:rPr>
          <w:vertAlign w:val="superscript"/>
        </w:rPr>
        <w:t xml:space="preserve">® </w:t>
      </w:r>
      <w:r w:rsidR="00F52DCF" w:rsidRPr="005D26FB">
        <w:t xml:space="preserve">в комбинации </w:t>
      </w:r>
      <w:r w:rsidR="00880A87" w:rsidRPr="005D26FB">
        <w:t xml:space="preserve">с </w:t>
      </w:r>
      <w:proofErr w:type="spellStart"/>
      <w:r w:rsidR="00880A87" w:rsidRPr="005D26FB">
        <w:t>трастузумабом</w:t>
      </w:r>
      <w:proofErr w:type="spellEnd"/>
      <w:r w:rsidR="00880A87" w:rsidRPr="005D26FB">
        <w:t xml:space="preserve"> и </w:t>
      </w:r>
      <w:proofErr w:type="spellStart"/>
      <w:r w:rsidR="00880A87" w:rsidRPr="005D26FB">
        <w:t>паклитакселом</w:t>
      </w:r>
      <w:proofErr w:type="spellEnd"/>
      <w:r w:rsidR="00880A87" w:rsidRPr="005D26FB">
        <w:t xml:space="preserve">, </w:t>
      </w:r>
      <w:r w:rsidR="00F52DCF" w:rsidRPr="005D26FB">
        <w:t xml:space="preserve">и 3.5% у пациентов, </w:t>
      </w:r>
      <w:r w:rsidR="00F52DCF" w:rsidRPr="005D26FB">
        <w:rPr>
          <w:rFonts w:eastAsia="Batang"/>
        </w:rPr>
        <w:t xml:space="preserve">получавших </w:t>
      </w:r>
      <w:r w:rsidR="00F52DCF" w:rsidRPr="005D26FB">
        <w:rPr>
          <w:rFonts w:eastAsia="Batang"/>
          <w:iCs/>
          <w:color w:val="000000"/>
          <w:lang w:eastAsia="en-US"/>
        </w:rPr>
        <w:t xml:space="preserve">терапию препаратом </w:t>
      </w:r>
      <w:proofErr w:type="spellStart"/>
      <w:r w:rsidR="00F52DCF" w:rsidRPr="005D26FB">
        <w:t>Перьета</w:t>
      </w:r>
      <w:proofErr w:type="spellEnd"/>
      <w:r w:rsidR="00F52DCF" w:rsidRPr="005D26FB">
        <w:rPr>
          <w:vertAlign w:val="superscript"/>
        </w:rPr>
        <w:t>®</w:t>
      </w:r>
      <w:r w:rsidR="00F52DCF" w:rsidRPr="005D26FB">
        <w:rPr>
          <w:rFonts w:eastAsia="Batang"/>
          <w:iCs/>
          <w:color w:val="000000"/>
          <w:lang w:eastAsia="en-US"/>
        </w:rPr>
        <w:t xml:space="preserve">, </w:t>
      </w:r>
      <w:proofErr w:type="spellStart"/>
      <w:r w:rsidR="00F52DCF" w:rsidRPr="005D26FB">
        <w:rPr>
          <w:rFonts w:eastAsia="Batang"/>
          <w:iCs/>
          <w:color w:val="000000"/>
          <w:lang w:eastAsia="en-US"/>
        </w:rPr>
        <w:t>трастузумабом</w:t>
      </w:r>
      <w:proofErr w:type="spellEnd"/>
      <w:r w:rsidR="00F52DCF" w:rsidRPr="005D26FB">
        <w:rPr>
          <w:rFonts w:eastAsia="Batang"/>
          <w:iCs/>
          <w:color w:val="000000"/>
          <w:lang w:eastAsia="en-US"/>
        </w:rPr>
        <w:t xml:space="preserve"> и </w:t>
      </w:r>
      <w:proofErr w:type="spellStart"/>
      <w:r w:rsidR="00F52DCF" w:rsidRPr="005D26FB">
        <w:rPr>
          <w:rFonts w:eastAsia="Batang"/>
          <w:iCs/>
          <w:color w:val="000000"/>
          <w:lang w:eastAsia="en-US"/>
        </w:rPr>
        <w:t>доцетакселом</w:t>
      </w:r>
      <w:proofErr w:type="spellEnd"/>
      <w:r w:rsidR="00F52DCF" w:rsidRPr="005D26FB">
        <w:rPr>
          <w:rFonts w:eastAsia="Batang"/>
          <w:iCs/>
          <w:color w:val="000000"/>
          <w:lang w:eastAsia="en-US"/>
        </w:rPr>
        <w:t xml:space="preserve"> в течение 4 циклов перед операцией, которым пр</w:t>
      </w:r>
      <w:r w:rsidR="008221BE" w:rsidRPr="005D26FB">
        <w:rPr>
          <w:rFonts w:eastAsia="Batang"/>
          <w:iCs/>
          <w:color w:val="000000"/>
          <w:lang w:eastAsia="en-US"/>
        </w:rPr>
        <w:t xml:space="preserve">едшествовали 4 цикла терапии </w:t>
      </w:r>
      <w:r w:rsidR="008221BE" w:rsidRPr="005D26FB">
        <w:rPr>
          <w:rFonts w:eastAsia="Batang"/>
          <w:iCs/>
          <w:color w:val="000000"/>
          <w:lang w:val="en-US" w:eastAsia="en-US"/>
        </w:rPr>
        <w:t>FEC</w:t>
      </w:r>
      <w:r w:rsidR="00F52DCF" w:rsidRPr="005D26FB">
        <w:rPr>
          <w:rFonts w:eastAsia="Batang"/>
          <w:iCs/>
          <w:color w:val="000000"/>
          <w:lang w:eastAsia="en-US"/>
        </w:rPr>
        <w:t>.</w:t>
      </w:r>
    </w:p>
    <w:p w14:paraId="51F01879" w14:textId="511548C6" w:rsidR="00F31322" w:rsidRPr="009F24D8" w:rsidRDefault="00616A2C" w:rsidP="00C622FF">
      <w:pPr>
        <w:suppressLineNumbers/>
        <w:tabs>
          <w:tab w:val="left" w:pos="567"/>
        </w:tabs>
        <w:spacing w:line="360" w:lineRule="auto"/>
      </w:pPr>
      <w:r w:rsidRPr="00C622FF">
        <w:rPr>
          <w:rFonts w:eastAsia="SimSun"/>
          <w:lang w:eastAsia="en-US"/>
        </w:rPr>
        <w:t>При применении препарата</w:t>
      </w:r>
      <w:r w:rsidR="00E97D9F" w:rsidRPr="00C622FF">
        <w:rPr>
          <w:rFonts w:eastAsia="SimSun"/>
          <w:lang w:eastAsia="en-US"/>
        </w:rPr>
        <w:t xml:space="preserve"> </w:t>
      </w:r>
      <w:proofErr w:type="spellStart"/>
      <w:r w:rsidR="00E97D9F" w:rsidRPr="00EE4D43">
        <w:t>Перье</w:t>
      </w:r>
      <w:r w:rsidR="00E97D9F" w:rsidRPr="00A5662E">
        <w:t>та</w:t>
      </w:r>
      <w:proofErr w:type="spellEnd"/>
      <w:r w:rsidR="00E97D9F" w:rsidRPr="00A5662E">
        <w:rPr>
          <w:vertAlign w:val="superscript"/>
        </w:rPr>
        <w:t>®</w:t>
      </w:r>
      <w:r w:rsidR="00E97D9F" w:rsidRPr="00BB4B57">
        <w:rPr>
          <w:rFonts w:eastAsia="SimSun"/>
          <w:lang w:eastAsia="en-US"/>
        </w:rPr>
        <w:t xml:space="preserve"> в комбинации с </w:t>
      </w:r>
      <w:proofErr w:type="spellStart"/>
      <w:r w:rsidR="00E97D9F" w:rsidRPr="00BB4B57">
        <w:rPr>
          <w:rFonts w:eastAsia="SimSun"/>
          <w:lang w:eastAsia="en-US"/>
        </w:rPr>
        <w:t>трастузумабом</w:t>
      </w:r>
      <w:proofErr w:type="spellEnd"/>
      <w:r w:rsidR="00E97D9F" w:rsidRPr="00BB4B57">
        <w:rPr>
          <w:rFonts w:eastAsia="SimSun"/>
          <w:lang w:eastAsia="en-US"/>
        </w:rPr>
        <w:t xml:space="preserve"> и химиотерапией</w:t>
      </w:r>
      <w:r w:rsidR="00355DC6" w:rsidRPr="00BB4B57">
        <w:rPr>
          <w:rFonts w:eastAsia="SimSun"/>
          <w:lang w:eastAsia="en-US"/>
        </w:rPr>
        <w:t xml:space="preserve"> </w:t>
      </w:r>
      <w:r w:rsidR="00BF0F98">
        <w:rPr>
          <w:rFonts w:eastAsia="SimSun"/>
          <w:lang w:eastAsia="en-US"/>
        </w:rPr>
        <w:t>(</w:t>
      </w:r>
      <w:proofErr w:type="spellStart"/>
      <w:r w:rsidR="00BF0F98">
        <w:rPr>
          <w:rFonts w:eastAsia="SimSun"/>
          <w:lang w:eastAsia="en-US"/>
        </w:rPr>
        <w:t>таксан</w:t>
      </w:r>
      <w:proofErr w:type="spellEnd"/>
      <w:r w:rsidR="00BF0F98">
        <w:rPr>
          <w:rFonts w:eastAsia="SimSun"/>
          <w:lang w:eastAsia="en-US"/>
        </w:rPr>
        <w:t xml:space="preserve">-содержащая химиотерапия в сочетании с </w:t>
      </w:r>
      <w:proofErr w:type="spellStart"/>
      <w:r w:rsidR="00BF0F98">
        <w:rPr>
          <w:rFonts w:eastAsia="SimSun"/>
          <w:lang w:eastAsia="en-US"/>
        </w:rPr>
        <w:t>антрациклин</w:t>
      </w:r>
      <w:proofErr w:type="spellEnd"/>
      <w:r w:rsidR="00BF0F98">
        <w:rPr>
          <w:rFonts w:eastAsia="SimSun"/>
          <w:lang w:eastAsia="en-US"/>
        </w:rPr>
        <w:t>-содержащим режимом или без него)</w:t>
      </w:r>
      <w:r w:rsidR="007904BB">
        <w:rPr>
          <w:rFonts w:eastAsia="SimSun"/>
          <w:lang w:eastAsia="en-US"/>
        </w:rPr>
        <w:t xml:space="preserve"> </w:t>
      </w:r>
      <w:r w:rsidR="00E97D9F" w:rsidRPr="00EE4D43">
        <w:rPr>
          <w:rFonts w:eastAsia="SimSun"/>
          <w:lang w:eastAsia="en-US"/>
        </w:rPr>
        <w:t xml:space="preserve">в качестве </w:t>
      </w:r>
      <w:proofErr w:type="spellStart"/>
      <w:r w:rsidR="00E97D9F" w:rsidRPr="00EE4D43">
        <w:rPr>
          <w:rFonts w:eastAsia="SimSun"/>
          <w:lang w:eastAsia="en-US"/>
        </w:rPr>
        <w:t>адъювантной</w:t>
      </w:r>
      <w:proofErr w:type="spellEnd"/>
      <w:r w:rsidR="00E97D9F" w:rsidRPr="00EE4D43">
        <w:rPr>
          <w:rFonts w:eastAsia="SimSun"/>
          <w:lang w:eastAsia="en-US"/>
        </w:rPr>
        <w:t xml:space="preserve"> терапии раннего рака молочной железы </w:t>
      </w:r>
      <w:r w:rsidR="00E97D9F" w:rsidRPr="00A5662E">
        <w:rPr>
          <w:rFonts w:eastAsia="Batang"/>
        </w:rPr>
        <w:t xml:space="preserve">частота симптоматической </w:t>
      </w:r>
      <w:r w:rsidR="00F31322" w:rsidRPr="00A5662E">
        <w:rPr>
          <w:rFonts w:eastAsia="Batang"/>
          <w:lang w:val="en-US"/>
        </w:rPr>
        <w:t>c</w:t>
      </w:r>
      <w:proofErr w:type="spellStart"/>
      <w:r w:rsidR="00F31322" w:rsidRPr="00BB4B57">
        <w:rPr>
          <w:rFonts w:eastAsia="Batang"/>
        </w:rPr>
        <w:t>ердечной</w:t>
      </w:r>
      <w:proofErr w:type="spellEnd"/>
      <w:r w:rsidR="00F31322" w:rsidRPr="00BB4B57">
        <w:rPr>
          <w:rFonts w:eastAsia="Batang"/>
        </w:rPr>
        <w:t xml:space="preserve"> недостаточности</w:t>
      </w:r>
      <w:r w:rsidR="00E97D9F" w:rsidRPr="00BB4B57">
        <w:rPr>
          <w:rFonts w:eastAsia="Batang"/>
        </w:rPr>
        <w:t xml:space="preserve"> (</w:t>
      </w:r>
      <w:r w:rsidR="00E97D9F" w:rsidRPr="00BB4B57">
        <w:rPr>
          <w:rFonts w:eastAsia="Batang"/>
          <w:lang w:val="en-US"/>
        </w:rPr>
        <w:t>III</w:t>
      </w:r>
      <w:r w:rsidR="00E97D9F" w:rsidRPr="00BB4B57">
        <w:rPr>
          <w:rFonts w:eastAsia="Batang"/>
        </w:rPr>
        <w:t>/</w:t>
      </w:r>
      <w:r w:rsidR="00E97D9F" w:rsidRPr="00BB4B57">
        <w:rPr>
          <w:rFonts w:eastAsia="Batang"/>
          <w:lang w:val="en-US"/>
        </w:rPr>
        <w:t>IV</w:t>
      </w:r>
      <w:r w:rsidR="00E97D9F" w:rsidRPr="00BB4B57">
        <w:rPr>
          <w:rFonts w:eastAsia="Batang"/>
        </w:rPr>
        <w:t xml:space="preserve"> класса по классификации </w:t>
      </w:r>
      <w:r w:rsidR="00E97D9F" w:rsidRPr="00BB4B57">
        <w:rPr>
          <w:rFonts w:eastAsia="Batang"/>
          <w:lang w:val="en-US"/>
        </w:rPr>
        <w:t>NYHA</w:t>
      </w:r>
      <w:r w:rsidR="00E97D9F" w:rsidRPr="00CC7420">
        <w:rPr>
          <w:rFonts w:eastAsia="Batang"/>
        </w:rPr>
        <w:t>)</w:t>
      </w:r>
      <w:r w:rsidR="00F31322" w:rsidRPr="00CC7420">
        <w:rPr>
          <w:rFonts w:eastAsia="Batang"/>
        </w:rPr>
        <w:t xml:space="preserve"> со снижением</w:t>
      </w:r>
      <w:r w:rsidR="00F31322" w:rsidRPr="00CA33B6">
        <w:rPr>
          <w:rFonts w:eastAsia="Batang"/>
        </w:rPr>
        <w:t xml:space="preserve"> ФВЛЖ</w:t>
      </w:r>
      <w:r w:rsidR="00042D2D" w:rsidRPr="00CA33B6">
        <w:rPr>
          <w:rFonts w:eastAsia="Batang"/>
        </w:rPr>
        <w:t xml:space="preserve"> </w:t>
      </w:r>
      <w:r w:rsidR="00042D2D" w:rsidRPr="009F24D8">
        <w:rPr>
          <w:rFonts w:eastAsia="Batang"/>
        </w:rPr>
        <w:t>на</w:t>
      </w:r>
      <w:r w:rsidR="00F0325A">
        <w:rPr>
          <w:rFonts w:eastAsia="Batang"/>
        </w:rPr>
        <w:t xml:space="preserve"> </w:t>
      </w:r>
      <w:r w:rsidR="00E31A81" w:rsidRPr="009F24D8">
        <w:rPr>
          <w:rFonts w:eastAsia="Batang"/>
        </w:rPr>
        <w:t>≥</w:t>
      </w:r>
      <w:r w:rsidR="00E31A81" w:rsidRPr="009F24D8">
        <w:rPr>
          <w:rFonts w:eastAsia="Batang"/>
          <w:color w:val="000000"/>
        </w:rPr>
        <w:t xml:space="preserve">10% </w:t>
      </w:r>
      <w:r w:rsidR="00BF0F98">
        <w:rPr>
          <w:rFonts w:eastAsia="Batang"/>
          <w:color w:val="000000"/>
        </w:rPr>
        <w:t>от начального уровня и</w:t>
      </w:r>
      <w:r w:rsidR="00AC7238" w:rsidRPr="00C622FF">
        <w:rPr>
          <w:rFonts w:eastAsia="Batang"/>
        </w:rPr>
        <w:t xml:space="preserve"> до </w:t>
      </w:r>
      <w:r w:rsidR="00F0325A">
        <w:rPr>
          <w:rFonts w:eastAsia="Batang"/>
        </w:rPr>
        <w:t>уровня</w:t>
      </w:r>
      <w:r w:rsidR="00AC7238" w:rsidRPr="00C622FF">
        <w:rPr>
          <w:rFonts w:eastAsia="Batang"/>
        </w:rPr>
        <w:t xml:space="preserve"> </w:t>
      </w:r>
      <w:r w:rsidR="00AC7238" w:rsidRPr="009F24D8">
        <w:rPr>
          <w:rFonts w:eastAsia="Batang"/>
        </w:rPr>
        <w:t xml:space="preserve">&lt;50% </w:t>
      </w:r>
      <w:r w:rsidR="00E97D9F" w:rsidRPr="00C622FF">
        <w:rPr>
          <w:rFonts w:eastAsia="Batang"/>
        </w:rPr>
        <w:t>составила 0.</w:t>
      </w:r>
      <w:r w:rsidR="0004081F">
        <w:rPr>
          <w:rFonts w:eastAsia="Batang"/>
        </w:rPr>
        <w:t>6</w:t>
      </w:r>
      <w:r w:rsidR="00E97D9F" w:rsidRPr="00EE4D43">
        <w:rPr>
          <w:rFonts w:eastAsia="Batang"/>
        </w:rPr>
        <w:t xml:space="preserve">% </w:t>
      </w:r>
      <w:r w:rsidR="00224493">
        <w:rPr>
          <w:rFonts w:eastAsia="Batang"/>
        </w:rPr>
        <w:t xml:space="preserve">у </w:t>
      </w:r>
      <w:r w:rsidR="00E97D9F" w:rsidRPr="00EE4D43">
        <w:rPr>
          <w:rFonts w:eastAsia="Batang"/>
        </w:rPr>
        <w:t>пациентов, получа</w:t>
      </w:r>
      <w:r w:rsidR="0004317D">
        <w:rPr>
          <w:rFonts w:eastAsia="Batang"/>
        </w:rPr>
        <w:t>вш</w:t>
      </w:r>
      <w:r w:rsidR="00E97D9F" w:rsidRPr="00C622FF">
        <w:rPr>
          <w:rFonts w:eastAsia="Batang"/>
        </w:rPr>
        <w:t xml:space="preserve">их препарат </w:t>
      </w:r>
      <w:proofErr w:type="spellStart"/>
      <w:r w:rsidR="00E97D9F" w:rsidRPr="009F24D8">
        <w:rPr>
          <w:rFonts w:eastAsia="Batang"/>
        </w:rPr>
        <w:t>Перьета</w:t>
      </w:r>
      <w:proofErr w:type="spellEnd"/>
      <w:r w:rsidR="00E97D9F" w:rsidRPr="009F24D8">
        <w:rPr>
          <w:rFonts w:eastAsia="Batang"/>
          <w:vertAlign w:val="superscript"/>
        </w:rPr>
        <w:t>®</w:t>
      </w:r>
      <w:r w:rsidR="00E97D9F" w:rsidRPr="009F24D8">
        <w:rPr>
          <w:rFonts w:eastAsia="Batang"/>
        </w:rPr>
        <w:t xml:space="preserve"> в комбинации с </w:t>
      </w:r>
      <w:proofErr w:type="spellStart"/>
      <w:r w:rsidR="00E97D9F" w:rsidRPr="009F24D8">
        <w:rPr>
          <w:rFonts w:eastAsia="Batang"/>
        </w:rPr>
        <w:t>тра</w:t>
      </w:r>
      <w:r w:rsidR="00F31322" w:rsidRPr="009F24D8">
        <w:rPr>
          <w:rFonts w:eastAsia="Batang"/>
        </w:rPr>
        <w:t>стузумабом</w:t>
      </w:r>
      <w:proofErr w:type="spellEnd"/>
      <w:r w:rsidR="00F31322" w:rsidRPr="009F24D8">
        <w:rPr>
          <w:rFonts w:eastAsia="Batang"/>
        </w:rPr>
        <w:t xml:space="preserve"> и химиотерапией</w:t>
      </w:r>
      <w:r w:rsidR="00224493">
        <w:rPr>
          <w:rFonts w:eastAsia="Batang"/>
        </w:rPr>
        <w:t xml:space="preserve"> (</w:t>
      </w:r>
      <w:r w:rsidR="00224493">
        <w:t xml:space="preserve">у </w:t>
      </w:r>
      <w:r w:rsidR="00224493" w:rsidRPr="009F24D8">
        <w:t xml:space="preserve">46.7% </w:t>
      </w:r>
      <w:r w:rsidR="00224493">
        <w:t xml:space="preserve">явление разрешилось) </w:t>
      </w:r>
      <w:r w:rsidR="00F31322" w:rsidRPr="009F24D8">
        <w:rPr>
          <w:rFonts w:eastAsia="Batang"/>
        </w:rPr>
        <w:t>и 0.</w:t>
      </w:r>
      <w:r w:rsidR="00974748" w:rsidRPr="009753E4">
        <w:rPr>
          <w:rFonts w:eastAsia="Batang"/>
        </w:rPr>
        <w:t>2</w:t>
      </w:r>
      <w:r w:rsidR="00E97D9F" w:rsidRPr="009F24D8">
        <w:rPr>
          <w:rFonts w:eastAsia="Batang"/>
        </w:rPr>
        <w:t>%</w:t>
      </w:r>
      <w:r w:rsidR="00224493">
        <w:rPr>
          <w:rFonts w:eastAsia="Batang"/>
        </w:rPr>
        <w:t xml:space="preserve"> у</w:t>
      </w:r>
      <w:r w:rsidR="00E97D9F" w:rsidRPr="009F24D8">
        <w:rPr>
          <w:rFonts w:eastAsia="Batang"/>
        </w:rPr>
        <w:t xml:space="preserve"> пациентов</w:t>
      </w:r>
      <w:r w:rsidR="00E665E6" w:rsidRPr="009F24D8">
        <w:rPr>
          <w:rFonts w:eastAsia="Batang"/>
        </w:rPr>
        <w:t>,</w:t>
      </w:r>
      <w:r w:rsidR="00E97D9F" w:rsidRPr="009F24D8">
        <w:rPr>
          <w:rFonts w:eastAsia="Batang"/>
        </w:rPr>
        <w:t xml:space="preserve"> получа</w:t>
      </w:r>
      <w:r w:rsidR="0004317D">
        <w:rPr>
          <w:rFonts w:eastAsia="Batang"/>
        </w:rPr>
        <w:t>вш</w:t>
      </w:r>
      <w:r w:rsidR="00E97D9F" w:rsidRPr="00C622FF">
        <w:rPr>
          <w:rFonts w:eastAsia="Batang"/>
        </w:rPr>
        <w:t xml:space="preserve">их </w:t>
      </w:r>
      <w:r w:rsidR="00BF0F98">
        <w:rPr>
          <w:rFonts w:eastAsia="Batang"/>
        </w:rPr>
        <w:t xml:space="preserve">только </w:t>
      </w:r>
      <w:r w:rsidR="00E97D9F" w:rsidRPr="009F24D8">
        <w:rPr>
          <w:rFonts w:eastAsia="Batang"/>
        </w:rPr>
        <w:t>трастузумаб в комбинации с химиотерапией</w:t>
      </w:r>
      <w:r w:rsidR="00224493">
        <w:t xml:space="preserve"> (</w:t>
      </w:r>
      <w:r w:rsidR="00224493">
        <w:rPr>
          <w:rFonts w:eastAsia="SimSun"/>
          <w:lang w:eastAsia="en-US"/>
        </w:rPr>
        <w:t xml:space="preserve">у </w:t>
      </w:r>
      <w:r w:rsidR="00BE7ABE">
        <w:rPr>
          <w:rFonts w:eastAsia="SimSun"/>
          <w:lang w:eastAsia="en-US"/>
        </w:rPr>
        <w:t>66.</w:t>
      </w:r>
      <w:r w:rsidR="00374F0C">
        <w:rPr>
          <w:rFonts w:eastAsia="SimSun"/>
          <w:lang w:eastAsia="en-US"/>
        </w:rPr>
        <w:t>7</w:t>
      </w:r>
      <w:r w:rsidR="00224493" w:rsidRPr="009F24D8">
        <w:rPr>
          <w:rFonts w:eastAsia="SimSun"/>
          <w:lang w:eastAsia="en-US"/>
        </w:rPr>
        <w:t xml:space="preserve">% </w:t>
      </w:r>
      <w:r w:rsidR="00224493">
        <w:t>явление разрешилось)</w:t>
      </w:r>
      <w:r w:rsidR="00E97D9F" w:rsidRPr="009F24D8">
        <w:t xml:space="preserve">. </w:t>
      </w:r>
      <w:r w:rsidR="00224493">
        <w:t xml:space="preserve">Считалось, что явление разрешилось, если 2 </w:t>
      </w:r>
      <w:r w:rsidR="00224493" w:rsidRPr="009F24D8">
        <w:rPr>
          <w:rFonts w:eastAsia="SimSun"/>
          <w:lang w:eastAsia="en-US"/>
        </w:rPr>
        <w:t>последователь</w:t>
      </w:r>
      <w:r w:rsidR="00224493">
        <w:rPr>
          <w:rFonts w:eastAsia="SimSun"/>
          <w:lang w:eastAsia="en-US"/>
        </w:rPr>
        <w:t>ных</w:t>
      </w:r>
      <w:r w:rsidR="00224493" w:rsidRPr="009F24D8">
        <w:rPr>
          <w:rFonts w:eastAsia="SimSun"/>
          <w:lang w:eastAsia="en-US"/>
        </w:rPr>
        <w:t xml:space="preserve"> изме</w:t>
      </w:r>
      <w:r w:rsidR="00224493">
        <w:rPr>
          <w:rFonts w:eastAsia="SimSun"/>
          <w:lang w:eastAsia="en-US"/>
        </w:rPr>
        <w:t>рения</w:t>
      </w:r>
      <w:r w:rsidR="00224493" w:rsidRPr="009F24D8">
        <w:rPr>
          <w:rFonts w:eastAsia="SimSun"/>
          <w:lang w:eastAsia="en-US"/>
        </w:rPr>
        <w:t xml:space="preserve"> ФВЛЖ </w:t>
      </w:r>
      <w:r w:rsidR="00224493">
        <w:rPr>
          <w:rFonts w:eastAsia="SimSun"/>
          <w:lang w:eastAsia="en-US"/>
        </w:rPr>
        <w:t xml:space="preserve">были </w:t>
      </w:r>
      <w:r w:rsidR="00224493" w:rsidRPr="009F24D8">
        <w:rPr>
          <w:rFonts w:eastAsia="SimSun"/>
          <w:lang w:eastAsia="en-US"/>
        </w:rPr>
        <w:t>с результатом &gt;50%</w:t>
      </w:r>
      <w:r w:rsidR="00224493">
        <w:rPr>
          <w:rFonts w:eastAsia="SimSun"/>
          <w:lang w:eastAsia="en-US"/>
        </w:rPr>
        <w:t>.</w:t>
      </w:r>
    </w:p>
    <w:p w14:paraId="6F07AD28" w14:textId="44F8BB7C" w:rsidR="007904BB" w:rsidRDefault="00E97D9F" w:rsidP="00C957E2">
      <w:pPr>
        <w:suppressLineNumbers/>
        <w:tabs>
          <w:tab w:val="left" w:pos="567"/>
        </w:tabs>
        <w:spacing w:line="360" w:lineRule="auto"/>
        <w:rPr>
          <w:rFonts w:eastAsia="SimSun"/>
          <w:lang w:eastAsia="en-US"/>
        </w:rPr>
      </w:pPr>
      <w:r w:rsidRPr="009F24D8">
        <w:rPr>
          <w:rFonts w:eastAsia="SimSun"/>
          <w:lang w:eastAsia="en-US"/>
        </w:rPr>
        <w:t>Большинство явлений отмечалось у пациентов, получа</w:t>
      </w:r>
      <w:r w:rsidR="0004317D">
        <w:rPr>
          <w:rFonts w:eastAsia="SimSun"/>
          <w:lang w:eastAsia="en-US"/>
        </w:rPr>
        <w:t>вш</w:t>
      </w:r>
      <w:r w:rsidRPr="00C622FF">
        <w:rPr>
          <w:rFonts w:eastAsia="SimSun"/>
          <w:lang w:eastAsia="en-US"/>
        </w:rPr>
        <w:t xml:space="preserve">их </w:t>
      </w:r>
      <w:proofErr w:type="spellStart"/>
      <w:r w:rsidR="009E5CD0" w:rsidRPr="00C622FF">
        <w:rPr>
          <w:rFonts w:eastAsia="SimSun"/>
          <w:lang w:eastAsia="en-US"/>
        </w:rPr>
        <w:t>антрациклин</w:t>
      </w:r>
      <w:r w:rsidR="009E5CD0" w:rsidRPr="00EE4D43">
        <w:rPr>
          <w:rFonts w:eastAsia="SimSun"/>
          <w:lang w:eastAsia="en-US"/>
        </w:rPr>
        <w:t>ы</w:t>
      </w:r>
      <w:proofErr w:type="spellEnd"/>
      <w:r w:rsidRPr="00A5662E">
        <w:rPr>
          <w:rFonts w:eastAsia="SimSun"/>
          <w:lang w:eastAsia="en-US"/>
        </w:rPr>
        <w:t xml:space="preserve">. </w:t>
      </w:r>
    </w:p>
    <w:p w14:paraId="6C602900" w14:textId="794AFA36" w:rsidR="00E97D9F" w:rsidRPr="00BB4B57" w:rsidRDefault="00E97D9F" w:rsidP="00C957E2">
      <w:pPr>
        <w:suppressLineNumbers/>
        <w:tabs>
          <w:tab w:val="left" w:pos="567"/>
        </w:tabs>
        <w:spacing w:line="360" w:lineRule="auto"/>
      </w:pPr>
      <w:r w:rsidRPr="00A5662E">
        <w:rPr>
          <w:rStyle w:val="CommentReference"/>
          <w:rFonts w:eastAsia="SimSun"/>
          <w:sz w:val="24"/>
          <w:szCs w:val="24"/>
          <w:lang w:eastAsia="en-US"/>
        </w:rPr>
        <w:t xml:space="preserve">Частота </w:t>
      </w:r>
      <w:r w:rsidR="00224493">
        <w:rPr>
          <w:rStyle w:val="CommentReference"/>
          <w:rFonts w:eastAsia="SimSun"/>
          <w:sz w:val="24"/>
          <w:szCs w:val="24"/>
          <w:lang w:eastAsia="en-US"/>
        </w:rPr>
        <w:t xml:space="preserve">бессимптомного </w:t>
      </w:r>
      <w:r w:rsidRPr="00A5662E">
        <w:rPr>
          <w:rStyle w:val="CommentReference"/>
          <w:rFonts w:eastAsia="SimSun"/>
          <w:sz w:val="24"/>
          <w:szCs w:val="24"/>
          <w:lang w:eastAsia="en-US"/>
        </w:rPr>
        <w:t>снижения</w:t>
      </w:r>
      <w:r w:rsidR="00224493">
        <w:rPr>
          <w:rStyle w:val="CommentReference"/>
          <w:rFonts w:eastAsia="SimSun"/>
          <w:sz w:val="24"/>
          <w:szCs w:val="24"/>
          <w:lang w:eastAsia="en-US"/>
        </w:rPr>
        <w:t xml:space="preserve"> </w:t>
      </w:r>
      <w:r w:rsidR="003F3931" w:rsidRPr="00BB4B57">
        <w:rPr>
          <w:rStyle w:val="CommentReference"/>
          <w:rFonts w:eastAsia="SimSun"/>
          <w:sz w:val="24"/>
          <w:szCs w:val="24"/>
          <w:lang w:eastAsia="en-US"/>
        </w:rPr>
        <w:t xml:space="preserve">ФВЛЖ </w:t>
      </w:r>
      <w:r w:rsidR="00F0325A">
        <w:rPr>
          <w:rStyle w:val="CommentReference"/>
          <w:rFonts w:eastAsia="SimSun"/>
          <w:sz w:val="24"/>
          <w:szCs w:val="24"/>
          <w:lang w:eastAsia="en-US"/>
        </w:rPr>
        <w:t xml:space="preserve">на </w:t>
      </w:r>
      <w:r w:rsidR="00923089" w:rsidRPr="009F24D8">
        <w:rPr>
          <w:rFonts w:eastAsia="Batang"/>
          <w:color w:val="000000"/>
        </w:rPr>
        <w:t>≥</w:t>
      </w:r>
      <w:r w:rsidR="00923089" w:rsidRPr="00C622FF">
        <w:rPr>
          <w:rFonts w:eastAsia="Batang"/>
          <w:color w:val="000000"/>
        </w:rPr>
        <w:t xml:space="preserve">10% </w:t>
      </w:r>
      <w:r w:rsidR="007904BB">
        <w:rPr>
          <w:rFonts w:eastAsia="Batang"/>
          <w:color w:val="000000"/>
        </w:rPr>
        <w:t>от начального уровня</w:t>
      </w:r>
      <w:r w:rsidR="00923089" w:rsidRPr="00C622FF">
        <w:rPr>
          <w:rFonts w:eastAsia="Batang"/>
          <w:color w:val="000000"/>
        </w:rPr>
        <w:t xml:space="preserve"> и</w:t>
      </w:r>
      <w:r w:rsidR="00923089" w:rsidRPr="00EE4D43">
        <w:rPr>
          <w:rFonts w:eastAsia="Batang"/>
        </w:rPr>
        <w:t xml:space="preserve"> до </w:t>
      </w:r>
      <w:r w:rsidR="00F0325A">
        <w:rPr>
          <w:rFonts w:eastAsia="Batang"/>
        </w:rPr>
        <w:t>уровня</w:t>
      </w:r>
      <w:r w:rsidR="00923089" w:rsidRPr="00C622FF">
        <w:rPr>
          <w:rFonts w:eastAsia="Batang"/>
        </w:rPr>
        <w:t xml:space="preserve"> </w:t>
      </w:r>
      <w:r w:rsidR="00923089" w:rsidRPr="00C622FF">
        <w:rPr>
          <w:color w:val="000000"/>
        </w:rPr>
        <w:t>&lt;50%</w:t>
      </w:r>
      <w:r w:rsidR="00923089" w:rsidRPr="00EE4D43">
        <w:rPr>
          <w:color w:val="000000"/>
        </w:rPr>
        <w:t xml:space="preserve"> </w:t>
      </w:r>
      <w:r w:rsidRPr="00A5662E">
        <w:rPr>
          <w:rStyle w:val="CommentReference"/>
          <w:rFonts w:eastAsia="SimSun"/>
          <w:sz w:val="24"/>
          <w:szCs w:val="24"/>
          <w:lang w:eastAsia="en-US"/>
        </w:rPr>
        <w:t xml:space="preserve">или со слабо выраженными симптомами (класс </w:t>
      </w:r>
      <w:r w:rsidRPr="00A5662E">
        <w:rPr>
          <w:rStyle w:val="CommentReference"/>
          <w:rFonts w:eastAsia="SimSun"/>
          <w:sz w:val="24"/>
          <w:szCs w:val="24"/>
          <w:lang w:val="en-US" w:eastAsia="en-US"/>
        </w:rPr>
        <w:t>II</w:t>
      </w:r>
      <w:r w:rsidRPr="00BB4B57">
        <w:rPr>
          <w:rStyle w:val="CommentReference"/>
          <w:rFonts w:eastAsia="SimSun"/>
          <w:sz w:val="24"/>
          <w:szCs w:val="24"/>
          <w:lang w:eastAsia="en-US"/>
        </w:rPr>
        <w:t xml:space="preserve"> по классификации </w:t>
      </w:r>
      <w:r w:rsidRPr="00BB4B57">
        <w:rPr>
          <w:rStyle w:val="CommentReference"/>
          <w:rFonts w:eastAsia="SimSun"/>
          <w:sz w:val="24"/>
          <w:szCs w:val="24"/>
          <w:lang w:val="en-US" w:eastAsia="en-US"/>
        </w:rPr>
        <w:t>NYHA</w:t>
      </w:r>
      <w:r w:rsidRPr="00BB4B57">
        <w:rPr>
          <w:rStyle w:val="CommentReference"/>
          <w:rFonts w:eastAsia="SimSun"/>
          <w:sz w:val="24"/>
          <w:szCs w:val="24"/>
          <w:lang w:eastAsia="en-US"/>
        </w:rPr>
        <w:t>) составил</w:t>
      </w:r>
      <w:r w:rsidR="00D96135" w:rsidRPr="00BB4B57">
        <w:rPr>
          <w:rStyle w:val="CommentReference"/>
          <w:rFonts w:eastAsia="SimSun"/>
          <w:sz w:val="24"/>
          <w:szCs w:val="24"/>
          <w:lang w:eastAsia="en-US"/>
        </w:rPr>
        <w:t>а 2.7% у пациентов, получавш</w:t>
      </w:r>
      <w:r w:rsidRPr="00BB4B57">
        <w:rPr>
          <w:rStyle w:val="CommentReference"/>
          <w:rFonts w:eastAsia="SimSun"/>
          <w:sz w:val="24"/>
          <w:szCs w:val="24"/>
          <w:lang w:eastAsia="en-US"/>
        </w:rPr>
        <w:t xml:space="preserve">их </w:t>
      </w:r>
      <w:r w:rsidR="00D96135" w:rsidRPr="00CC7420">
        <w:rPr>
          <w:rFonts w:eastAsia="Batang"/>
          <w:noProof/>
          <w:color w:val="000000"/>
        </w:rPr>
        <w:t>препарат</w:t>
      </w:r>
      <w:r w:rsidRPr="00CC7420">
        <w:rPr>
          <w:rFonts w:eastAsia="Batang"/>
          <w:noProof/>
          <w:color w:val="000000"/>
        </w:rPr>
        <w:t xml:space="preserve"> </w:t>
      </w:r>
      <w:proofErr w:type="spellStart"/>
      <w:r w:rsidRPr="00CC7420">
        <w:t>Перьета</w:t>
      </w:r>
      <w:proofErr w:type="spellEnd"/>
      <w:r w:rsidRPr="00CC7420">
        <w:rPr>
          <w:vertAlign w:val="superscript"/>
        </w:rPr>
        <w:t>®</w:t>
      </w:r>
      <w:r w:rsidRPr="00CC7420">
        <w:rPr>
          <w:rFonts w:eastAsia="Batang"/>
          <w:noProof/>
          <w:color w:val="000000"/>
        </w:rPr>
        <w:t xml:space="preserve"> в комбинации с трастузумабом</w:t>
      </w:r>
      <w:r w:rsidRPr="00CC7420" w:rsidDel="008B575C">
        <w:rPr>
          <w:rStyle w:val="CommentReference"/>
          <w:rFonts w:eastAsia="SimSun"/>
          <w:lang w:eastAsia="en-US"/>
        </w:rPr>
        <w:t xml:space="preserve"> </w:t>
      </w:r>
      <w:r w:rsidR="00D45E43" w:rsidRPr="00CA33B6">
        <w:rPr>
          <w:rStyle w:val="CommentReference"/>
          <w:rFonts w:eastAsia="SimSun"/>
          <w:sz w:val="24"/>
          <w:szCs w:val="24"/>
          <w:lang w:eastAsia="en-US"/>
        </w:rPr>
        <w:t>и химиотерапией</w:t>
      </w:r>
      <w:r w:rsidRPr="00805CD1">
        <w:rPr>
          <w:rStyle w:val="CommentReference"/>
          <w:rFonts w:eastAsia="SimSun"/>
          <w:sz w:val="24"/>
          <w:szCs w:val="24"/>
          <w:lang w:eastAsia="en-US"/>
        </w:rPr>
        <w:t xml:space="preserve"> (</w:t>
      </w:r>
      <w:r w:rsidR="00224493">
        <w:rPr>
          <w:rStyle w:val="CommentReference"/>
          <w:rFonts w:eastAsia="SimSun"/>
          <w:sz w:val="24"/>
          <w:szCs w:val="24"/>
          <w:lang w:eastAsia="en-US"/>
        </w:rPr>
        <w:t>у</w:t>
      </w:r>
      <w:r w:rsidRPr="00805CD1">
        <w:rPr>
          <w:rStyle w:val="CommentReference"/>
          <w:rFonts w:eastAsia="SimSun"/>
          <w:sz w:val="24"/>
          <w:szCs w:val="24"/>
          <w:lang w:eastAsia="en-US"/>
        </w:rPr>
        <w:t xml:space="preserve"> 79.</w:t>
      </w:r>
      <w:r w:rsidR="00B10B42" w:rsidRPr="009753E4">
        <w:rPr>
          <w:rStyle w:val="CommentReference"/>
          <w:rFonts w:eastAsia="SimSun"/>
          <w:sz w:val="24"/>
          <w:szCs w:val="24"/>
          <w:lang w:eastAsia="en-US"/>
        </w:rPr>
        <w:t>7</w:t>
      </w:r>
      <w:r w:rsidRPr="00805CD1">
        <w:rPr>
          <w:rStyle w:val="CommentReference"/>
          <w:rFonts w:eastAsia="SimSun"/>
          <w:sz w:val="24"/>
          <w:szCs w:val="24"/>
          <w:lang w:eastAsia="en-US"/>
        </w:rPr>
        <w:t xml:space="preserve">% явление разрешилось) и 2.8% у пациентов, </w:t>
      </w:r>
      <w:r w:rsidRPr="00805CD1">
        <w:rPr>
          <w:rStyle w:val="CommentReference"/>
          <w:rFonts w:eastAsia="SimSun"/>
          <w:sz w:val="24"/>
          <w:szCs w:val="24"/>
          <w:lang w:eastAsia="en-US"/>
        </w:rPr>
        <w:lastRenderedPageBreak/>
        <w:t>получа</w:t>
      </w:r>
      <w:r w:rsidR="0004317D">
        <w:rPr>
          <w:rStyle w:val="CommentReference"/>
          <w:rFonts w:eastAsia="SimSun"/>
          <w:sz w:val="24"/>
          <w:szCs w:val="24"/>
          <w:lang w:eastAsia="en-US"/>
        </w:rPr>
        <w:t>вш</w:t>
      </w:r>
      <w:r w:rsidRPr="00C622FF">
        <w:rPr>
          <w:rStyle w:val="CommentReference"/>
          <w:rFonts w:eastAsia="SimSun"/>
          <w:sz w:val="24"/>
          <w:szCs w:val="24"/>
          <w:lang w:eastAsia="en-US"/>
        </w:rPr>
        <w:t xml:space="preserve">их </w:t>
      </w:r>
      <w:r w:rsidRPr="00C622FF">
        <w:rPr>
          <w:rFonts w:eastAsia="Batang"/>
          <w:noProof/>
          <w:color w:val="000000"/>
        </w:rPr>
        <w:t>терапию</w:t>
      </w:r>
      <w:r w:rsidRPr="00EE4D43">
        <w:rPr>
          <w:rFonts w:eastAsia="Batang"/>
          <w:noProof/>
          <w:color w:val="000000"/>
        </w:rPr>
        <w:t xml:space="preserve"> трастузумабом</w:t>
      </w:r>
      <w:r w:rsidRPr="00A5662E" w:rsidDel="008B575C">
        <w:rPr>
          <w:rStyle w:val="CommentReference"/>
          <w:rFonts w:eastAsia="SimSun"/>
          <w:lang w:eastAsia="en-US"/>
        </w:rPr>
        <w:t xml:space="preserve"> </w:t>
      </w:r>
      <w:r w:rsidRPr="00A5662E">
        <w:rPr>
          <w:rStyle w:val="CommentReference"/>
          <w:rFonts w:eastAsia="SimSun"/>
          <w:sz w:val="24"/>
          <w:szCs w:val="24"/>
          <w:lang w:eastAsia="en-US"/>
        </w:rPr>
        <w:t>в комбинации с химиотерап</w:t>
      </w:r>
      <w:r w:rsidR="00BB4E98" w:rsidRPr="00BB4B57">
        <w:rPr>
          <w:rStyle w:val="CommentReference"/>
          <w:rFonts w:eastAsia="SimSun"/>
          <w:sz w:val="24"/>
          <w:szCs w:val="24"/>
          <w:lang w:eastAsia="en-US"/>
        </w:rPr>
        <w:t>ией</w:t>
      </w:r>
      <w:r w:rsidRPr="00BB4B57">
        <w:rPr>
          <w:rStyle w:val="CommentReference"/>
          <w:rFonts w:eastAsia="SimSun"/>
          <w:sz w:val="24"/>
          <w:szCs w:val="24"/>
          <w:lang w:eastAsia="en-US"/>
        </w:rPr>
        <w:t xml:space="preserve"> (</w:t>
      </w:r>
      <w:r w:rsidR="00224493">
        <w:rPr>
          <w:rStyle w:val="CommentReference"/>
          <w:rFonts w:eastAsia="SimSun"/>
          <w:sz w:val="24"/>
          <w:szCs w:val="24"/>
          <w:lang w:eastAsia="en-US"/>
        </w:rPr>
        <w:t xml:space="preserve">у </w:t>
      </w:r>
      <w:r w:rsidRPr="00BB4B57">
        <w:rPr>
          <w:rStyle w:val="CommentReference"/>
          <w:rFonts w:eastAsia="SimSun"/>
          <w:sz w:val="24"/>
          <w:szCs w:val="24"/>
          <w:lang w:eastAsia="en-US"/>
        </w:rPr>
        <w:t>80.6% явление разрешилось).</w:t>
      </w:r>
    </w:p>
    <w:p w14:paraId="73A2FA5A" w14:textId="77777777" w:rsidR="00424BC6" w:rsidRPr="007A66BD" w:rsidRDefault="00424BC6" w:rsidP="00C957E2">
      <w:pPr>
        <w:suppressLineNumbers/>
        <w:tabs>
          <w:tab w:val="left" w:pos="567"/>
        </w:tabs>
        <w:spacing w:line="360" w:lineRule="auto"/>
        <w:rPr>
          <w:rFonts w:eastAsia="SimSun"/>
          <w:i/>
          <w:iCs/>
          <w:color w:val="000000"/>
          <w:lang w:eastAsia="en-US"/>
        </w:rPr>
      </w:pPr>
      <w:r w:rsidRPr="007A66BD">
        <w:rPr>
          <w:rFonts w:eastAsia="Batang"/>
          <w:i/>
          <w:iCs/>
          <w:color w:val="000000"/>
          <w:lang w:eastAsia="en-US"/>
        </w:rPr>
        <w:t>Инфузионные реакции</w:t>
      </w:r>
    </w:p>
    <w:p w14:paraId="4E6B3F50" w14:textId="77777777" w:rsidR="00564071" w:rsidRDefault="00BF7A69" w:rsidP="00C957E2">
      <w:pPr>
        <w:suppressLineNumbers/>
        <w:tabs>
          <w:tab w:val="left" w:pos="567"/>
        </w:tabs>
        <w:spacing w:line="360" w:lineRule="auto"/>
        <w:rPr>
          <w:rFonts w:eastAsia="SimSun"/>
          <w:color w:val="000000"/>
          <w:lang w:eastAsia="en-US"/>
        </w:rPr>
      </w:pPr>
      <w:r>
        <w:rPr>
          <w:rFonts w:eastAsia="SimSun"/>
          <w:color w:val="000000"/>
          <w:lang w:eastAsia="en-US"/>
        </w:rPr>
        <w:t>Р</w:t>
      </w:r>
      <w:r w:rsidR="00712203">
        <w:rPr>
          <w:rFonts w:eastAsia="SimSun"/>
          <w:color w:val="000000"/>
          <w:lang w:eastAsia="en-US"/>
        </w:rPr>
        <w:t>е</w:t>
      </w:r>
      <w:r w:rsidR="00FC2FED">
        <w:rPr>
          <w:rFonts w:eastAsia="SimSun"/>
          <w:color w:val="000000"/>
          <w:lang w:eastAsia="en-US"/>
        </w:rPr>
        <w:t>акции</w:t>
      </w:r>
      <w:r>
        <w:rPr>
          <w:rFonts w:eastAsia="SimSun"/>
          <w:color w:val="000000"/>
          <w:lang w:eastAsia="en-US"/>
        </w:rPr>
        <w:t xml:space="preserve"> гиперчувствительности, анафилактические реакции, острые инфузионные реакции и синдром высвобождения цитокинов</w:t>
      </w:r>
      <w:r w:rsidR="00075D34" w:rsidRPr="00DC6F63">
        <w:rPr>
          <w:rFonts w:eastAsia="SimSun"/>
          <w:color w:val="000000"/>
          <w:lang w:eastAsia="en-US"/>
        </w:rPr>
        <w:t>,</w:t>
      </w:r>
      <w:r>
        <w:rPr>
          <w:rFonts w:eastAsia="SimSun"/>
          <w:color w:val="000000"/>
          <w:lang w:eastAsia="en-US"/>
        </w:rPr>
        <w:t xml:space="preserve"> </w:t>
      </w:r>
      <w:r w:rsidR="00FC2FED">
        <w:rPr>
          <w:rFonts w:eastAsia="SimSun"/>
          <w:color w:val="000000"/>
          <w:lang w:eastAsia="en-US"/>
        </w:rPr>
        <w:t>развитие которых произошло в процессе инфузии или в день</w:t>
      </w:r>
      <w:r w:rsidR="00075D34">
        <w:rPr>
          <w:rFonts w:eastAsia="SimSun"/>
          <w:color w:val="000000"/>
          <w:lang w:eastAsia="en-US"/>
        </w:rPr>
        <w:t xml:space="preserve"> инфузии, были отнесены к </w:t>
      </w:r>
      <w:proofErr w:type="spellStart"/>
      <w:r w:rsidR="008234A2" w:rsidRPr="000515BB">
        <w:rPr>
          <w:rFonts w:eastAsia="SimSun"/>
          <w:color w:val="000000"/>
          <w:lang w:eastAsia="en-US"/>
        </w:rPr>
        <w:t>инфузионным</w:t>
      </w:r>
      <w:proofErr w:type="spellEnd"/>
      <w:r w:rsidR="008234A2" w:rsidRPr="000515BB">
        <w:rPr>
          <w:rFonts w:eastAsia="SimSun"/>
          <w:color w:val="000000"/>
          <w:lang w:eastAsia="en-US"/>
        </w:rPr>
        <w:t xml:space="preserve"> реакциям</w:t>
      </w:r>
      <w:r w:rsidR="00FC2FED">
        <w:rPr>
          <w:rFonts w:eastAsia="SimSun"/>
          <w:color w:val="000000"/>
          <w:lang w:eastAsia="en-US"/>
        </w:rPr>
        <w:t xml:space="preserve">. </w:t>
      </w:r>
    </w:p>
    <w:p w14:paraId="0368BA35" w14:textId="77777777" w:rsidR="007E171C" w:rsidRPr="007A66BD" w:rsidRDefault="00564071" w:rsidP="00C957E2">
      <w:pPr>
        <w:suppressLineNumbers/>
        <w:tabs>
          <w:tab w:val="left" w:pos="567"/>
        </w:tabs>
        <w:spacing w:line="360" w:lineRule="auto"/>
        <w:rPr>
          <w:rFonts w:eastAsia="Batang"/>
          <w:color w:val="000000"/>
          <w:lang w:eastAsia="en-US"/>
        </w:rPr>
      </w:pPr>
      <w:r>
        <w:rPr>
          <w:rFonts w:eastAsia="SimSun"/>
          <w:color w:val="000000"/>
          <w:lang w:eastAsia="en-US"/>
        </w:rPr>
        <w:t xml:space="preserve">На фоне терапии </w:t>
      </w:r>
      <w:r w:rsidRPr="00572878">
        <w:rPr>
          <w:rFonts w:eastAsia="SimSun"/>
          <w:color w:val="000000"/>
          <w:lang w:eastAsia="en-US"/>
        </w:rPr>
        <w:t>метастатического рака молочной железы</w:t>
      </w:r>
      <w:r>
        <w:rPr>
          <w:rFonts w:eastAsia="SimSun"/>
          <w:color w:val="000000"/>
          <w:lang w:eastAsia="en-US"/>
        </w:rPr>
        <w:t>, п</w:t>
      </w:r>
      <w:r w:rsidR="007E171C">
        <w:rPr>
          <w:rFonts w:eastAsia="SimSun"/>
          <w:color w:val="000000"/>
          <w:lang w:eastAsia="en-US"/>
        </w:rPr>
        <w:t xml:space="preserve">осле введения только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7E171C">
        <w:rPr>
          <w:rFonts w:eastAsia="SimSun"/>
          <w:color w:val="000000"/>
          <w:lang w:eastAsia="en-US"/>
        </w:rPr>
        <w:t xml:space="preserve"> бо</w:t>
      </w:r>
      <w:r w:rsidR="007E171C" w:rsidRPr="007A66BD">
        <w:rPr>
          <w:rFonts w:eastAsia="SimSun"/>
          <w:color w:val="000000"/>
          <w:lang w:eastAsia="en-US"/>
        </w:rPr>
        <w:t>льшинство инфузионных реакци</w:t>
      </w:r>
      <w:r w:rsidR="00FC2FED">
        <w:rPr>
          <w:rFonts w:eastAsia="SimSun"/>
          <w:color w:val="000000"/>
          <w:lang w:eastAsia="en-US"/>
        </w:rPr>
        <w:t>й</w:t>
      </w:r>
      <w:r w:rsidR="007E171C" w:rsidRPr="007A66BD">
        <w:rPr>
          <w:rFonts w:eastAsia="SimSun"/>
          <w:color w:val="000000"/>
          <w:lang w:eastAsia="en-US"/>
        </w:rPr>
        <w:t xml:space="preserve"> имели легкую или среднюю степень тяжести</w:t>
      </w:r>
      <w:r w:rsidR="00FC2FED">
        <w:rPr>
          <w:rFonts w:eastAsia="SimSun"/>
          <w:color w:val="000000"/>
          <w:lang w:eastAsia="en-US"/>
        </w:rPr>
        <w:t xml:space="preserve"> и наблюдались приблизительно у </w:t>
      </w:r>
      <w:r w:rsidR="00BF7A69">
        <w:rPr>
          <w:rFonts w:eastAsia="SimSun"/>
          <w:color w:val="000000"/>
          <w:lang w:eastAsia="en-US"/>
        </w:rPr>
        <w:t>13.</w:t>
      </w:r>
      <w:r w:rsidR="00BB2815">
        <w:rPr>
          <w:rFonts w:eastAsia="SimSun"/>
          <w:color w:val="000000"/>
          <w:lang w:eastAsia="en-US"/>
        </w:rPr>
        <w:t>2</w:t>
      </w:r>
      <w:r w:rsidR="00FC2FED">
        <w:rPr>
          <w:rFonts w:eastAsia="SimSun"/>
          <w:color w:val="000000"/>
          <w:lang w:eastAsia="en-US"/>
        </w:rPr>
        <w:t>% пациентов</w:t>
      </w:r>
      <w:r w:rsidR="007E171C" w:rsidRPr="007A66BD">
        <w:rPr>
          <w:rFonts w:eastAsia="SimSun"/>
          <w:color w:val="000000"/>
          <w:lang w:eastAsia="en-US"/>
        </w:rPr>
        <w:t xml:space="preserve">. </w:t>
      </w:r>
      <w:r w:rsidR="007E171C" w:rsidRPr="007A66BD">
        <w:rPr>
          <w:rFonts w:eastAsia="Batang"/>
          <w:color w:val="000000"/>
          <w:lang w:eastAsia="en-US"/>
        </w:rPr>
        <w:t>Наиболее частыми инфузионными реакциями (</w:t>
      </w:r>
      <w:r w:rsidR="00924611">
        <w:rPr>
          <w:rFonts w:eastAsia="Batang"/>
          <w:color w:val="000000"/>
          <w:lang w:eastAsia="en-US"/>
        </w:rPr>
        <w:t>≥</w:t>
      </w:r>
      <w:r w:rsidR="007E171C" w:rsidRPr="007A66BD">
        <w:rPr>
          <w:rFonts w:eastAsia="Batang"/>
          <w:color w:val="000000"/>
          <w:lang w:eastAsia="en-US"/>
        </w:rPr>
        <w:t>1</w:t>
      </w:r>
      <w:r w:rsidR="00424BC6">
        <w:rPr>
          <w:rFonts w:eastAsia="Batang"/>
          <w:color w:val="000000"/>
          <w:lang w:eastAsia="en-US"/>
        </w:rPr>
        <w:t>.</w:t>
      </w:r>
      <w:r w:rsidR="00924611">
        <w:rPr>
          <w:rFonts w:eastAsia="Batang"/>
          <w:color w:val="000000"/>
          <w:lang w:eastAsia="en-US"/>
        </w:rPr>
        <w:t>0</w:t>
      </w:r>
      <w:r w:rsidR="007E171C" w:rsidRPr="007A66BD">
        <w:rPr>
          <w:rFonts w:eastAsia="Batang"/>
          <w:color w:val="000000"/>
          <w:lang w:eastAsia="en-US"/>
        </w:rPr>
        <w:t xml:space="preserve">%) были повышение температуры тела, </w:t>
      </w:r>
      <w:r w:rsidR="00924611">
        <w:rPr>
          <w:rFonts w:eastAsia="Batang"/>
          <w:color w:val="000000"/>
          <w:lang w:eastAsia="en-US"/>
        </w:rPr>
        <w:t>астения</w:t>
      </w:r>
      <w:r w:rsidR="007E171C" w:rsidRPr="007A66BD">
        <w:rPr>
          <w:rFonts w:eastAsia="Batang"/>
          <w:color w:val="000000"/>
          <w:lang w:eastAsia="en-US"/>
        </w:rPr>
        <w:t xml:space="preserve">, озноб, </w:t>
      </w:r>
      <w:r w:rsidR="00BB2815">
        <w:rPr>
          <w:rFonts w:eastAsia="Batang"/>
          <w:color w:val="000000"/>
          <w:lang w:eastAsia="en-US"/>
        </w:rPr>
        <w:t xml:space="preserve">повышенная </w:t>
      </w:r>
      <w:r w:rsidR="007E171C" w:rsidRPr="007A66BD">
        <w:rPr>
          <w:rFonts w:eastAsia="Batang"/>
          <w:color w:val="000000"/>
          <w:lang w:eastAsia="en-US"/>
        </w:rPr>
        <w:t>утомляемость</w:t>
      </w:r>
      <w:r w:rsidR="00924611">
        <w:rPr>
          <w:rFonts w:eastAsia="Batang"/>
          <w:color w:val="000000"/>
          <w:lang w:eastAsia="en-US"/>
        </w:rPr>
        <w:t>,</w:t>
      </w:r>
      <w:r w:rsidR="00BB2815">
        <w:rPr>
          <w:rFonts w:eastAsia="Batang"/>
          <w:color w:val="000000"/>
          <w:lang w:eastAsia="en-US"/>
        </w:rPr>
        <w:t xml:space="preserve"> </w:t>
      </w:r>
      <w:r w:rsidR="00AA63A3">
        <w:rPr>
          <w:rFonts w:eastAsia="Batang"/>
          <w:color w:val="000000"/>
          <w:lang w:eastAsia="en-US"/>
        </w:rPr>
        <w:t>гиперчувствительность,</w:t>
      </w:r>
      <w:r w:rsidR="00924611">
        <w:rPr>
          <w:rFonts w:eastAsia="Batang"/>
          <w:color w:val="000000"/>
          <w:lang w:eastAsia="en-US"/>
        </w:rPr>
        <w:t xml:space="preserve"> рвота</w:t>
      </w:r>
      <w:r w:rsidR="007E171C" w:rsidRPr="007A66BD">
        <w:rPr>
          <w:rFonts w:eastAsia="Batang"/>
          <w:color w:val="000000"/>
          <w:lang w:eastAsia="en-US"/>
        </w:rPr>
        <w:t xml:space="preserve"> и головная боль.</w:t>
      </w:r>
    </w:p>
    <w:p w14:paraId="63BC2412" w14:textId="77777777" w:rsidR="007E171C" w:rsidRPr="001B2F9B" w:rsidRDefault="00335E59" w:rsidP="00C957E2">
      <w:pPr>
        <w:suppressLineNumbers/>
        <w:tabs>
          <w:tab w:val="left" w:pos="567"/>
        </w:tabs>
        <w:spacing w:line="360" w:lineRule="auto"/>
        <w:rPr>
          <w:rFonts w:eastAsia="Batang"/>
          <w:color w:val="000000"/>
          <w:lang w:eastAsia="en-US"/>
        </w:rPr>
      </w:pPr>
      <w:r>
        <w:rPr>
          <w:rFonts w:eastAsia="Batang"/>
          <w:color w:val="000000"/>
          <w:lang w:eastAsia="en-US"/>
        </w:rPr>
        <w:t>П</w:t>
      </w:r>
      <w:r w:rsidR="007E171C">
        <w:rPr>
          <w:rFonts w:eastAsia="Batang"/>
          <w:color w:val="000000"/>
          <w:lang w:eastAsia="en-US"/>
        </w:rPr>
        <w:t xml:space="preserve">осле </w:t>
      </w:r>
      <w:r w:rsidR="006D220B">
        <w:rPr>
          <w:rFonts w:eastAsia="Batang"/>
          <w:color w:val="000000"/>
          <w:lang w:eastAsia="en-US"/>
        </w:rPr>
        <w:t xml:space="preserve">одновременного </w:t>
      </w:r>
      <w:r w:rsidR="00F961A0">
        <w:rPr>
          <w:rFonts w:eastAsia="Batang"/>
          <w:color w:val="000000"/>
          <w:lang w:eastAsia="en-US"/>
        </w:rPr>
        <w:t xml:space="preserve">(в один день) </w:t>
      </w:r>
      <w:r w:rsidR="006D220B">
        <w:rPr>
          <w:rFonts w:eastAsia="Batang"/>
          <w:color w:val="000000"/>
          <w:lang w:eastAsia="en-US"/>
        </w:rPr>
        <w:t xml:space="preserve">введения </w:t>
      </w:r>
      <w:r w:rsidR="007E171C">
        <w:rPr>
          <w:rFonts w:eastAsia="Batang"/>
          <w:color w:val="000000"/>
          <w:lang w:eastAsia="en-US"/>
        </w:rPr>
        <w:t>препарат</w:t>
      </w:r>
      <w:r w:rsidR="00E856AD">
        <w:rPr>
          <w:rFonts w:eastAsia="Batang"/>
          <w:color w:val="000000"/>
          <w:lang w:eastAsia="en-US"/>
        </w:rPr>
        <w:t>а</w:t>
      </w:r>
      <w:r w:rsidR="007E171C">
        <w:rPr>
          <w:rFonts w:eastAsia="Batang"/>
          <w:color w:val="000000"/>
          <w:lang w:eastAsia="en-US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864283">
        <w:rPr>
          <w:rFonts w:eastAsia="Batang"/>
          <w:color w:val="000000"/>
          <w:lang w:eastAsia="en-US"/>
        </w:rPr>
        <w:t>,</w:t>
      </w:r>
      <w:r w:rsidR="007E171C">
        <w:rPr>
          <w:rFonts w:eastAsia="Batang"/>
          <w:color w:val="000000"/>
          <w:lang w:eastAsia="en-US"/>
        </w:rPr>
        <w:t xml:space="preserve"> </w:t>
      </w:r>
      <w:r w:rsidR="00E856AD">
        <w:rPr>
          <w:rFonts w:eastAsia="Batang"/>
          <w:color w:val="000000"/>
          <w:lang w:eastAsia="en-US"/>
        </w:rPr>
        <w:t>трастузумаба</w:t>
      </w:r>
      <w:r w:rsidR="007E171C">
        <w:rPr>
          <w:rFonts w:eastAsia="Batang"/>
          <w:color w:val="000000"/>
          <w:lang w:eastAsia="en-US"/>
        </w:rPr>
        <w:t xml:space="preserve"> и </w:t>
      </w:r>
      <w:proofErr w:type="spellStart"/>
      <w:r w:rsidR="007E171C">
        <w:rPr>
          <w:rFonts w:eastAsia="Batang"/>
          <w:color w:val="000000"/>
          <w:lang w:eastAsia="en-US"/>
        </w:rPr>
        <w:t>доцетаксела</w:t>
      </w:r>
      <w:proofErr w:type="spellEnd"/>
      <w:r w:rsidR="007E171C">
        <w:rPr>
          <w:rFonts w:eastAsia="Batang"/>
          <w:color w:val="000000"/>
          <w:lang w:eastAsia="en-US"/>
        </w:rPr>
        <w:t>,</w:t>
      </w:r>
      <w:r w:rsidR="00424BC6">
        <w:rPr>
          <w:rFonts w:eastAsia="Batang"/>
          <w:color w:val="000000"/>
          <w:lang w:eastAsia="en-US"/>
        </w:rPr>
        <w:t xml:space="preserve"> начиная со второго цикла терапии,</w:t>
      </w:r>
      <w:r w:rsidR="007E171C" w:rsidRPr="007A66BD">
        <w:rPr>
          <w:rFonts w:eastAsia="Batang"/>
          <w:color w:val="000000"/>
          <w:lang w:eastAsia="en-US"/>
        </w:rPr>
        <w:t xml:space="preserve"> </w:t>
      </w:r>
      <w:r>
        <w:rPr>
          <w:rFonts w:eastAsia="Batang"/>
          <w:color w:val="000000"/>
          <w:lang w:eastAsia="en-US"/>
        </w:rPr>
        <w:t>н</w:t>
      </w:r>
      <w:r w:rsidRPr="007A66BD">
        <w:rPr>
          <w:rFonts w:eastAsia="Batang"/>
          <w:color w:val="000000"/>
          <w:lang w:eastAsia="en-US"/>
        </w:rPr>
        <w:t>аиболее частыми (</w:t>
      </w:r>
      <w:r w:rsidR="00DC170D">
        <w:rPr>
          <w:rFonts w:eastAsia="Batang"/>
          <w:color w:val="000000"/>
          <w:lang w:eastAsia="en-US"/>
        </w:rPr>
        <w:t>≥</w:t>
      </w:r>
      <w:r w:rsidR="00DC170D" w:rsidRPr="007A66BD">
        <w:rPr>
          <w:rFonts w:eastAsia="Batang"/>
          <w:color w:val="000000"/>
          <w:lang w:eastAsia="en-US"/>
        </w:rPr>
        <w:t>1</w:t>
      </w:r>
      <w:r w:rsidR="00DC170D">
        <w:rPr>
          <w:rFonts w:eastAsia="Batang"/>
          <w:color w:val="000000"/>
          <w:lang w:eastAsia="en-US"/>
        </w:rPr>
        <w:t>.0</w:t>
      </w:r>
      <w:r w:rsidR="00DC170D" w:rsidRPr="007A66BD">
        <w:rPr>
          <w:rFonts w:eastAsia="Batang"/>
          <w:color w:val="000000"/>
          <w:lang w:eastAsia="en-US"/>
        </w:rPr>
        <w:t>%</w:t>
      </w:r>
      <w:r w:rsidRPr="007A66BD">
        <w:rPr>
          <w:rFonts w:eastAsia="Batang"/>
          <w:color w:val="000000"/>
          <w:lang w:eastAsia="en-US"/>
        </w:rPr>
        <w:t xml:space="preserve">) инфузионными реакциями </w:t>
      </w:r>
      <w:r w:rsidR="007E171C" w:rsidRPr="007A66BD">
        <w:rPr>
          <w:rFonts w:eastAsia="Batang"/>
          <w:color w:val="000000"/>
          <w:lang w:eastAsia="en-US"/>
        </w:rPr>
        <w:t xml:space="preserve">были </w:t>
      </w:r>
      <w:r w:rsidR="00AD536C">
        <w:rPr>
          <w:rFonts w:eastAsia="Batang"/>
          <w:color w:val="000000"/>
          <w:lang w:eastAsia="en-US"/>
        </w:rPr>
        <w:t xml:space="preserve">повышенная </w:t>
      </w:r>
      <w:r w:rsidR="007E171C" w:rsidRPr="007A66BD">
        <w:rPr>
          <w:rFonts w:eastAsia="Batang"/>
          <w:color w:val="000000"/>
          <w:lang w:eastAsia="en-US"/>
        </w:rPr>
        <w:t xml:space="preserve">утомляемость, </w:t>
      </w:r>
      <w:r w:rsidR="005736BD">
        <w:rPr>
          <w:rFonts w:eastAsia="Batang"/>
          <w:color w:val="000000"/>
          <w:lang w:eastAsia="en-US"/>
        </w:rPr>
        <w:t>искажение вкусового восприятия, гиперчувствительность, миалгия, рвота</w:t>
      </w:r>
      <w:r w:rsidR="007E171C" w:rsidRPr="007A66BD">
        <w:rPr>
          <w:rFonts w:eastAsia="Batang"/>
          <w:color w:val="000000"/>
          <w:lang w:eastAsia="en-US"/>
        </w:rPr>
        <w:t>.</w:t>
      </w:r>
    </w:p>
    <w:p w14:paraId="43C0B5CF" w14:textId="408D45BD" w:rsidR="001B2F9B" w:rsidRPr="001B2F9B" w:rsidRDefault="001B2F9B" w:rsidP="00C957E2">
      <w:pPr>
        <w:suppressLineNumbers/>
        <w:tabs>
          <w:tab w:val="left" w:pos="567"/>
        </w:tabs>
        <w:spacing w:line="360" w:lineRule="auto"/>
        <w:rPr>
          <w:rFonts w:eastAsia="Batang"/>
          <w:color w:val="000000"/>
          <w:lang w:eastAsia="en-US"/>
        </w:rPr>
      </w:pPr>
      <w:r>
        <w:rPr>
          <w:rFonts w:eastAsia="Batang"/>
          <w:color w:val="000000"/>
          <w:lang w:eastAsia="en-US"/>
        </w:rPr>
        <w:t xml:space="preserve">На фоне </w:t>
      </w:r>
      <w:proofErr w:type="spellStart"/>
      <w:r>
        <w:rPr>
          <w:rFonts w:eastAsia="Batang"/>
          <w:color w:val="000000"/>
          <w:lang w:eastAsia="en-US"/>
        </w:rPr>
        <w:t>неоадъювантной</w:t>
      </w:r>
      <w:proofErr w:type="spellEnd"/>
      <w:r>
        <w:rPr>
          <w:rFonts w:eastAsia="Batang"/>
          <w:color w:val="000000"/>
          <w:lang w:eastAsia="en-US"/>
        </w:rPr>
        <w:t xml:space="preserve"> </w:t>
      </w:r>
      <w:r w:rsidR="007A2D5D">
        <w:rPr>
          <w:rFonts w:eastAsia="Batang"/>
          <w:color w:val="000000"/>
          <w:lang w:eastAsia="en-US"/>
        </w:rPr>
        <w:t xml:space="preserve">и </w:t>
      </w:r>
      <w:proofErr w:type="spellStart"/>
      <w:r w:rsidR="007A2D5D">
        <w:rPr>
          <w:rFonts w:eastAsia="Batang"/>
          <w:color w:val="000000"/>
          <w:lang w:eastAsia="en-US"/>
        </w:rPr>
        <w:t>адъювантной</w:t>
      </w:r>
      <w:proofErr w:type="spellEnd"/>
      <w:r w:rsidR="007A2D5D">
        <w:rPr>
          <w:rFonts w:eastAsia="Batang"/>
          <w:color w:val="000000"/>
          <w:lang w:eastAsia="en-US"/>
        </w:rPr>
        <w:t xml:space="preserve"> </w:t>
      </w:r>
      <w:r>
        <w:rPr>
          <w:rFonts w:eastAsia="Batang"/>
          <w:color w:val="000000"/>
          <w:lang w:eastAsia="en-US"/>
        </w:rPr>
        <w:t>терапии раннего рака молочной железы</w:t>
      </w:r>
      <w:r w:rsidR="00ED440B">
        <w:rPr>
          <w:rFonts w:eastAsia="Batang"/>
          <w:color w:val="000000"/>
          <w:lang w:eastAsia="en-US"/>
        </w:rPr>
        <w:t xml:space="preserve"> </w:t>
      </w:r>
      <w:r w:rsidR="00CF56CD">
        <w:rPr>
          <w:rFonts w:eastAsia="Batang"/>
          <w:color w:val="000000"/>
          <w:lang w:eastAsia="en-US"/>
        </w:rPr>
        <w:t>и</w:t>
      </w:r>
      <w:r w:rsidR="007A2D5D">
        <w:rPr>
          <w:rFonts w:eastAsia="Batang"/>
          <w:color w:val="000000"/>
          <w:lang w:eastAsia="en-US"/>
        </w:rPr>
        <w:t xml:space="preserve">нфузионные реакции отмечались у 18.6%-25.0% пациентов в первый день введения препарата </w:t>
      </w:r>
      <w:proofErr w:type="spellStart"/>
      <w:r w:rsidR="007A2D5D">
        <w:rPr>
          <w:rFonts w:eastAsia="Batang"/>
          <w:color w:val="000000"/>
          <w:lang w:eastAsia="en-US"/>
        </w:rPr>
        <w:t>Перьета</w:t>
      </w:r>
      <w:proofErr w:type="spellEnd"/>
      <w:r w:rsidR="007A2D5D" w:rsidRPr="006E2758">
        <w:rPr>
          <w:vertAlign w:val="superscript"/>
        </w:rPr>
        <w:t>®</w:t>
      </w:r>
      <w:r w:rsidR="007A2D5D">
        <w:rPr>
          <w:rFonts w:eastAsia="Batang"/>
          <w:color w:val="000000"/>
          <w:lang w:eastAsia="en-US"/>
        </w:rPr>
        <w:t xml:space="preserve"> (в комбинации </w:t>
      </w:r>
      <w:r w:rsidR="00DD2A66">
        <w:rPr>
          <w:rFonts w:eastAsia="Batang"/>
          <w:color w:val="000000"/>
          <w:lang w:val="en-US" w:eastAsia="en-US"/>
        </w:rPr>
        <w:t>c</w:t>
      </w:r>
      <w:r w:rsidR="007A2D5D">
        <w:rPr>
          <w:rFonts w:eastAsia="Batang"/>
          <w:color w:val="000000"/>
          <w:lang w:eastAsia="en-US"/>
        </w:rPr>
        <w:t xml:space="preserve"> </w:t>
      </w:r>
      <w:proofErr w:type="spellStart"/>
      <w:r w:rsidR="007A2D5D">
        <w:rPr>
          <w:rFonts w:eastAsia="Batang"/>
          <w:color w:val="000000"/>
          <w:lang w:eastAsia="en-US"/>
        </w:rPr>
        <w:t>трастузумабом</w:t>
      </w:r>
      <w:proofErr w:type="spellEnd"/>
      <w:r w:rsidR="007A2D5D">
        <w:rPr>
          <w:rFonts w:eastAsia="Batang"/>
          <w:color w:val="000000"/>
          <w:lang w:eastAsia="en-US"/>
        </w:rPr>
        <w:t xml:space="preserve"> и химиотерапией). Характер и степень тяжести инфузионных реакций</w:t>
      </w:r>
      <w:r>
        <w:rPr>
          <w:rFonts w:eastAsia="Batang"/>
          <w:color w:val="000000"/>
          <w:lang w:eastAsia="en-US"/>
        </w:rPr>
        <w:t>, большинство из которых были легкой и средней степени тяжести</w:t>
      </w:r>
      <w:r w:rsidR="00B26B4B">
        <w:rPr>
          <w:rFonts w:eastAsia="Batang"/>
          <w:color w:val="000000"/>
          <w:lang w:eastAsia="en-US"/>
        </w:rPr>
        <w:t>, соответствовали таковым, наблюдавшимся при терапии метастатического рака молочной железы</w:t>
      </w:r>
      <w:r>
        <w:rPr>
          <w:rFonts w:eastAsia="Batang"/>
          <w:color w:val="000000"/>
          <w:lang w:eastAsia="en-US"/>
        </w:rPr>
        <w:t>.</w:t>
      </w:r>
    </w:p>
    <w:p w14:paraId="530B95EC" w14:textId="77777777" w:rsidR="00A504B2" w:rsidRPr="00DD31F9" w:rsidRDefault="005736BD" w:rsidP="00C957E2">
      <w:pPr>
        <w:suppressLineNumbers/>
        <w:tabs>
          <w:tab w:val="left" w:pos="567"/>
        </w:tabs>
        <w:spacing w:line="360" w:lineRule="auto"/>
        <w:rPr>
          <w:rFonts w:eastAsia="Batang"/>
          <w:i/>
          <w:color w:val="000000"/>
          <w:lang w:eastAsia="en-US"/>
        </w:rPr>
      </w:pPr>
      <w:r w:rsidRPr="00DD31F9">
        <w:rPr>
          <w:rFonts w:eastAsia="Batang"/>
          <w:i/>
          <w:color w:val="000000"/>
          <w:lang w:eastAsia="en-US"/>
        </w:rPr>
        <w:t>Реакции ги</w:t>
      </w:r>
      <w:r w:rsidRPr="005736BD">
        <w:rPr>
          <w:rFonts w:eastAsia="Batang"/>
          <w:i/>
          <w:color w:val="000000"/>
          <w:lang w:eastAsia="en-US"/>
        </w:rPr>
        <w:t>перчувствительности/анафилаксии</w:t>
      </w:r>
    </w:p>
    <w:p w14:paraId="7E8362C3" w14:textId="77777777" w:rsidR="007E171C" w:rsidRPr="004C407A" w:rsidRDefault="00A97345" w:rsidP="00C957E2">
      <w:pPr>
        <w:suppressLineNumbers/>
        <w:tabs>
          <w:tab w:val="left" w:pos="567"/>
        </w:tabs>
        <w:spacing w:line="360" w:lineRule="auto"/>
        <w:rPr>
          <w:rFonts w:eastAsia="SimSun"/>
          <w:lang w:eastAsia="en-US"/>
        </w:rPr>
      </w:pPr>
      <w:r>
        <w:rPr>
          <w:rFonts w:eastAsia="SimSun"/>
          <w:color w:val="000000"/>
          <w:lang w:eastAsia="en-US"/>
        </w:rPr>
        <w:t>У пациентов с метастатическим раком молочной железы</w:t>
      </w:r>
      <w:r w:rsidRPr="00424BC6">
        <w:rPr>
          <w:rFonts w:eastAsia="SimSun"/>
          <w:color w:val="000000"/>
          <w:lang w:eastAsia="en-US"/>
        </w:rPr>
        <w:t xml:space="preserve"> </w:t>
      </w:r>
      <w:r w:rsidR="008A4078">
        <w:rPr>
          <w:rFonts w:eastAsia="SimSun"/>
          <w:color w:val="000000"/>
          <w:lang w:eastAsia="en-US"/>
        </w:rPr>
        <w:t>о</w:t>
      </w:r>
      <w:r w:rsidR="007E171C" w:rsidRPr="00424BC6">
        <w:rPr>
          <w:rFonts w:eastAsia="SimSun"/>
          <w:color w:val="000000"/>
          <w:lang w:eastAsia="en-US"/>
        </w:rPr>
        <w:t xml:space="preserve">бщая частота явлений </w:t>
      </w:r>
      <w:r w:rsidR="007E171C" w:rsidRPr="00007C81">
        <w:rPr>
          <w:rFonts w:eastAsia="SimSun"/>
          <w:lang w:eastAsia="en-US"/>
        </w:rPr>
        <w:t>гиперчувствительности/анафилаксии составила 9</w:t>
      </w:r>
      <w:r w:rsidR="00424BC6">
        <w:rPr>
          <w:rFonts w:eastAsia="SimSun"/>
          <w:lang w:eastAsia="en-US"/>
        </w:rPr>
        <w:t>.</w:t>
      </w:r>
      <w:r w:rsidR="005736BD">
        <w:rPr>
          <w:rFonts w:eastAsia="SimSun"/>
          <w:lang w:eastAsia="en-US"/>
        </w:rPr>
        <w:t>3</w:t>
      </w:r>
      <w:r w:rsidR="007E171C" w:rsidRPr="00007C81">
        <w:rPr>
          <w:rFonts w:eastAsia="SimSun"/>
          <w:lang w:eastAsia="en-US"/>
        </w:rPr>
        <w:t xml:space="preserve">% </w:t>
      </w:r>
      <w:r w:rsidR="00FA194C">
        <w:rPr>
          <w:rFonts w:eastAsia="SimSun"/>
          <w:color w:val="000000"/>
          <w:lang w:eastAsia="en-US"/>
        </w:rPr>
        <w:t xml:space="preserve">после одновременного </w:t>
      </w:r>
      <w:r w:rsidR="00C46008">
        <w:rPr>
          <w:rFonts w:eastAsia="SimSun"/>
          <w:color w:val="000000"/>
          <w:lang w:eastAsia="en-US"/>
        </w:rPr>
        <w:t>в</w:t>
      </w:r>
      <w:r w:rsidR="00FA194C">
        <w:rPr>
          <w:rFonts w:eastAsia="SimSun"/>
          <w:color w:val="000000"/>
          <w:lang w:eastAsia="en-US"/>
        </w:rPr>
        <w:t xml:space="preserve">ведения </w:t>
      </w:r>
      <w:r w:rsidR="00E856AD">
        <w:rPr>
          <w:rFonts w:eastAsia="Batang"/>
          <w:color w:val="000000"/>
          <w:lang w:eastAsia="en-US"/>
        </w:rPr>
        <w:t>трастузумаба</w:t>
      </w:r>
      <w:r w:rsidR="00FA194C">
        <w:rPr>
          <w:rFonts w:eastAsia="Batang"/>
          <w:color w:val="000000"/>
          <w:lang w:eastAsia="en-US"/>
        </w:rPr>
        <w:t xml:space="preserve"> и </w:t>
      </w:r>
      <w:proofErr w:type="spellStart"/>
      <w:r w:rsidR="00FA194C">
        <w:rPr>
          <w:rFonts w:eastAsia="Batang"/>
          <w:color w:val="000000"/>
          <w:lang w:eastAsia="en-US"/>
        </w:rPr>
        <w:t>доцетаксела</w:t>
      </w:r>
      <w:proofErr w:type="spellEnd"/>
      <w:r w:rsidR="00121817">
        <w:rPr>
          <w:rFonts w:eastAsia="SimSun"/>
          <w:lang w:eastAsia="en-US"/>
        </w:rPr>
        <w:t xml:space="preserve"> </w:t>
      </w:r>
      <w:r w:rsidR="007E171C" w:rsidRPr="00007C81">
        <w:rPr>
          <w:rFonts w:eastAsia="SimSun"/>
          <w:lang w:eastAsia="en-US"/>
        </w:rPr>
        <w:t>и 1</w:t>
      </w:r>
      <w:r w:rsidR="005736BD">
        <w:rPr>
          <w:rFonts w:eastAsia="SimSun"/>
          <w:lang w:eastAsia="en-US"/>
        </w:rPr>
        <w:t>1</w:t>
      </w:r>
      <w:r w:rsidR="00424BC6">
        <w:rPr>
          <w:rFonts w:eastAsia="SimSun"/>
          <w:lang w:eastAsia="en-US"/>
        </w:rPr>
        <w:t>.</w:t>
      </w:r>
      <w:r w:rsidR="005736BD">
        <w:rPr>
          <w:rFonts w:eastAsia="SimSun"/>
          <w:lang w:eastAsia="en-US"/>
        </w:rPr>
        <w:t>3</w:t>
      </w:r>
      <w:r w:rsidR="007E171C" w:rsidRPr="00007C81">
        <w:rPr>
          <w:rFonts w:eastAsia="SimSun"/>
          <w:lang w:eastAsia="en-US"/>
        </w:rPr>
        <w:t>%</w:t>
      </w:r>
      <w:r w:rsidR="003C2AA1">
        <w:rPr>
          <w:rFonts w:eastAsia="SimSun"/>
          <w:lang w:eastAsia="en-US"/>
        </w:rPr>
        <w:t xml:space="preserve"> </w:t>
      </w:r>
      <w:r w:rsidR="00121817">
        <w:rPr>
          <w:rFonts w:eastAsia="SimSun"/>
          <w:lang w:eastAsia="en-US"/>
        </w:rPr>
        <w:t xml:space="preserve">после одновременного введения </w:t>
      </w:r>
      <w:r w:rsidR="003C2AA1">
        <w:rPr>
          <w:rFonts w:eastAsia="SimSun"/>
          <w:lang w:eastAsia="en-US"/>
        </w:rPr>
        <w:t>п</w:t>
      </w:r>
      <w:r w:rsidR="007E171C" w:rsidRPr="00424BC6">
        <w:rPr>
          <w:rFonts w:eastAsia="SimSun"/>
          <w:color w:val="000000"/>
          <w:lang w:eastAsia="en-US"/>
        </w:rPr>
        <w:t>репарат</w:t>
      </w:r>
      <w:r w:rsidR="00E856AD">
        <w:rPr>
          <w:rFonts w:eastAsia="SimSun"/>
          <w:color w:val="000000"/>
          <w:lang w:eastAsia="en-US"/>
        </w:rPr>
        <w:t>а</w:t>
      </w:r>
      <w:r w:rsidR="007E171C" w:rsidRPr="00424BC6">
        <w:rPr>
          <w:rFonts w:eastAsia="SimSun"/>
          <w:color w:val="000000"/>
          <w:lang w:eastAsia="en-US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121817">
        <w:rPr>
          <w:rFonts w:eastAsia="SimSun"/>
          <w:color w:val="000000"/>
          <w:lang w:eastAsia="en-US"/>
        </w:rPr>
        <w:t xml:space="preserve">, </w:t>
      </w:r>
      <w:r w:rsidR="00E856AD">
        <w:rPr>
          <w:rFonts w:eastAsia="SimSun"/>
          <w:color w:val="000000"/>
          <w:lang w:eastAsia="en-US"/>
        </w:rPr>
        <w:t>трастузумаба</w:t>
      </w:r>
      <w:r w:rsidR="00121817">
        <w:rPr>
          <w:rFonts w:eastAsia="SimSun"/>
          <w:color w:val="000000"/>
          <w:lang w:eastAsia="en-US"/>
        </w:rPr>
        <w:t xml:space="preserve"> и </w:t>
      </w:r>
      <w:proofErr w:type="spellStart"/>
      <w:r w:rsidR="00121817">
        <w:rPr>
          <w:rFonts w:eastAsia="SimSun"/>
          <w:color w:val="000000"/>
          <w:lang w:eastAsia="en-US"/>
        </w:rPr>
        <w:t>доцетаксела</w:t>
      </w:r>
      <w:proofErr w:type="spellEnd"/>
      <w:r w:rsidR="007E171C" w:rsidRPr="00424BC6">
        <w:rPr>
          <w:rFonts w:eastAsia="SimSun"/>
          <w:color w:val="000000"/>
          <w:lang w:eastAsia="en-US"/>
        </w:rPr>
        <w:t>; из данных явлений 2</w:t>
      </w:r>
      <w:r w:rsidR="00424BC6">
        <w:rPr>
          <w:rFonts w:eastAsia="SimSun"/>
          <w:color w:val="000000"/>
          <w:lang w:eastAsia="en-US"/>
        </w:rPr>
        <w:t>.</w:t>
      </w:r>
      <w:r w:rsidR="007E171C" w:rsidRPr="00424BC6">
        <w:rPr>
          <w:rFonts w:eastAsia="SimSun"/>
          <w:color w:val="000000"/>
          <w:lang w:eastAsia="en-US"/>
        </w:rPr>
        <w:t>5% и 2%</w:t>
      </w:r>
      <w:r w:rsidR="00253CC2" w:rsidRPr="00424BC6">
        <w:rPr>
          <w:rFonts w:eastAsia="SimSun"/>
          <w:color w:val="000000"/>
          <w:lang w:eastAsia="en-US"/>
        </w:rPr>
        <w:t xml:space="preserve"> соответственно</w:t>
      </w:r>
      <w:r w:rsidR="007E171C" w:rsidRPr="00424BC6">
        <w:rPr>
          <w:rFonts w:eastAsia="SimSun"/>
          <w:color w:val="000000"/>
          <w:lang w:eastAsia="en-US"/>
        </w:rPr>
        <w:t xml:space="preserve"> характеризовались 3</w:t>
      </w:r>
      <w:r w:rsidR="00C51640">
        <w:rPr>
          <w:rFonts w:eastAsia="SimSun"/>
          <w:color w:val="000000"/>
          <w:lang w:eastAsia="en-US"/>
        </w:rPr>
        <w:t>-й</w:t>
      </w:r>
      <w:r w:rsidR="00C51640" w:rsidRPr="00DC6F63">
        <w:rPr>
          <w:rFonts w:eastAsia="SimSun"/>
          <w:color w:val="000000"/>
          <w:lang w:eastAsia="en-US"/>
        </w:rPr>
        <w:t xml:space="preserve"> </w:t>
      </w:r>
      <w:r w:rsidR="00C51640">
        <w:rPr>
          <w:rFonts w:eastAsia="SimSun"/>
          <w:color w:val="000000"/>
          <w:lang w:eastAsia="en-US"/>
        </w:rPr>
        <w:t>и</w:t>
      </w:r>
      <w:r w:rsidR="007E171C" w:rsidRPr="00424BC6">
        <w:rPr>
          <w:rFonts w:eastAsia="SimSun"/>
          <w:color w:val="000000"/>
          <w:lang w:eastAsia="en-US"/>
        </w:rPr>
        <w:t xml:space="preserve"> 4-й степенью тяжести по классификации </w:t>
      </w:r>
      <w:r w:rsidR="007E171C" w:rsidRPr="00424BC6">
        <w:rPr>
          <w:rFonts w:eastAsia="SimSun"/>
          <w:color w:val="000000"/>
          <w:lang w:val="en-GB" w:eastAsia="en-US"/>
        </w:rPr>
        <w:t>NCI</w:t>
      </w:r>
      <w:r w:rsidR="007E171C" w:rsidRPr="00424BC6">
        <w:rPr>
          <w:rFonts w:eastAsia="SimSun"/>
          <w:color w:val="000000"/>
          <w:lang w:eastAsia="en-US"/>
        </w:rPr>
        <w:t>-</w:t>
      </w:r>
      <w:r w:rsidR="007E171C" w:rsidRPr="00424BC6">
        <w:rPr>
          <w:rFonts w:eastAsia="SimSun"/>
          <w:color w:val="000000"/>
          <w:lang w:val="en-GB" w:eastAsia="en-US"/>
        </w:rPr>
        <w:t>CTCAE</w:t>
      </w:r>
      <w:r w:rsidR="00807444">
        <w:rPr>
          <w:rFonts w:eastAsia="SimSun"/>
          <w:color w:val="000000"/>
          <w:lang w:eastAsia="en-US"/>
        </w:rPr>
        <w:t>, версия 3</w:t>
      </w:r>
      <w:r w:rsidR="007E171C" w:rsidRPr="00424BC6">
        <w:rPr>
          <w:rFonts w:eastAsia="SimSun"/>
          <w:color w:val="000000"/>
          <w:lang w:eastAsia="en-US"/>
        </w:rPr>
        <w:t xml:space="preserve">. </w:t>
      </w:r>
      <w:r w:rsidR="007E171C" w:rsidRPr="00007C81">
        <w:rPr>
          <w:rFonts w:eastAsia="Batang"/>
          <w:color w:val="000000"/>
          <w:lang w:eastAsia="en-US"/>
        </w:rPr>
        <w:t xml:space="preserve">В общей сложности у </w:t>
      </w:r>
      <w:r w:rsidR="00425CF1">
        <w:rPr>
          <w:rFonts w:eastAsia="Batang"/>
          <w:color w:val="000000"/>
          <w:lang w:eastAsia="en-US"/>
        </w:rPr>
        <w:t>0.5% пациентов</w:t>
      </w:r>
      <w:r w:rsidR="007E171C" w:rsidRPr="00007C81">
        <w:rPr>
          <w:rFonts w:eastAsia="Batang"/>
          <w:color w:val="000000"/>
          <w:lang w:eastAsia="en-US"/>
        </w:rPr>
        <w:t xml:space="preserve"> </w:t>
      </w:r>
      <w:r w:rsidR="00D6695C">
        <w:rPr>
          <w:rFonts w:eastAsia="SimSun"/>
          <w:color w:val="000000"/>
          <w:lang w:eastAsia="en-US"/>
        </w:rPr>
        <w:t>после одновременного в</w:t>
      </w:r>
      <w:r w:rsidR="00AF4622">
        <w:rPr>
          <w:rFonts w:eastAsia="SimSun"/>
          <w:color w:val="000000"/>
          <w:lang w:eastAsia="en-US"/>
        </w:rPr>
        <w:t>в</w:t>
      </w:r>
      <w:r w:rsidR="00D6695C">
        <w:rPr>
          <w:rFonts w:eastAsia="SimSun"/>
          <w:color w:val="000000"/>
          <w:lang w:eastAsia="en-US"/>
        </w:rPr>
        <w:t xml:space="preserve">едения </w:t>
      </w:r>
      <w:r w:rsidR="00E856AD">
        <w:rPr>
          <w:rFonts w:eastAsia="Batang"/>
          <w:color w:val="000000"/>
          <w:lang w:eastAsia="en-US"/>
        </w:rPr>
        <w:t>трастузумаба</w:t>
      </w:r>
      <w:r w:rsidR="00D6695C">
        <w:rPr>
          <w:rFonts w:eastAsia="Batang"/>
          <w:color w:val="000000"/>
          <w:lang w:eastAsia="en-US"/>
        </w:rPr>
        <w:t xml:space="preserve"> и </w:t>
      </w:r>
      <w:proofErr w:type="spellStart"/>
      <w:r w:rsidR="00D6695C">
        <w:rPr>
          <w:rFonts w:eastAsia="Batang"/>
          <w:color w:val="000000"/>
          <w:lang w:eastAsia="en-US"/>
        </w:rPr>
        <w:t>доцетаксела</w:t>
      </w:r>
      <w:proofErr w:type="spellEnd"/>
      <w:r w:rsidR="00D6695C" w:rsidRPr="00007C81" w:rsidDel="00D6695C">
        <w:rPr>
          <w:rFonts w:eastAsia="Batang"/>
          <w:color w:val="000000"/>
          <w:lang w:eastAsia="en-US"/>
        </w:rPr>
        <w:t xml:space="preserve"> </w:t>
      </w:r>
      <w:r w:rsidR="007E171C" w:rsidRPr="00007C81">
        <w:rPr>
          <w:rFonts w:eastAsia="Batang"/>
          <w:color w:val="000000"/>
          <w:lang w:eastAsia="en-US"/>
        </w:rPr>
        <w:t xml:space="preserve">и у </w:t>
      </w:r>
      <w:r w:rsidR="00425CF1">
        <w:rPr>
          <w:rFonts w:eastAsia="Batang"/>
          <w:color w:val="000000"/>
          <w:lang w:eastAsia="en-US"/>
        </w:rPr>
        <w:t xml:space="preserve">1% пациентов </w:t>
      </w:r>
      <w:r w:rsidR="00D6695C">
        <w:rPr>
          <w:rFonts w:eastAsia="SimSun"/>
          <w:lang w:eastAsia="en-US"/>
        </w:rPr>
        <w:t xml:space="preserve">после одновременного введения </w:t>
      </w:r>
      <w:r w:rsidR="003C2AA1">
        <w:rPr>
          <w:rFonts w:eastAsia="SimSun"/>
          <w:lang w:eastAsia="en-US"/>
        </w:rPr>
        <w:t>п</w:t>
      </w:r>
      <w:r w:rsidR="00D6695C" w:rsidRPr="00424BC6">
        <w:rPr>
          <w:rFonts w:eastAsia="SimSun"/>
          <w:color w:val="000000"/>
          <w:lang w:eastAsia="en-US"/>
        </w:rPr>
        <w:t>репарат</w:t>
      </w:r>
      <w:r w:rsidR="00E856AD">
        <w:rPr>
          <w:rFonts w:eastAsia="SimSun"/>
          <w:color w:val="000000"/>
          <w:lang w:eastAsia="en-US"/>
        </w:rPr>
        <w:t>а</w:t>
      </w:r>
      <w:r w:rsidR="00D6695C" w:rsidRPr="00424BC6">
        <w:rPr>
          <w:rFonts w:eastAsia="SimSun"/>
          <w:color w:val="000000"/>
          <w:lang w:eastAsia="en-US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D6695C">
        <w:rPr>
          <w:rFonts w:eastAsia="SimSun"/>
          <w:color w:val="000000"/>
          <w:lang w:eastAsia="en-US"/>
        </w:rPr>
        <w:t xml:space="preserve">, </w:t>
      </w:r>
      <w:r w:rsidR="00E856AD">
        <w:rPr>
          <w:rFonts w:eastAsia="SimSun"/>
          <w:color w:val="000000"/>
          <w:lang w:eastAsia="en-US"/>
        </w:rPr>
        <w:t>трастузумаба</w:t>
      </w:r>
      <w:r w:rsidR="00D6695C">
        <w:rPr>
          <w:rFonts w:eastAsia="SimSun"/>
          <w:color w:val="000000"/>
          <w:lang w:eastAsia="en-US"/>
        </w:rPr>
        <w:t xml:space="preserve"> и </w:t>
      </w:r>
      <w:proofErr w:type="spellStart"/>
      <w:r w:rsidR="00D6695C">
        <w:rPr>
          <w:rFonts w:eastAsia="SimSun"/>
          <w:color w:val="000000"/>
          <w:lang w:eastAsia="en-US"/>
        </w:rPr>
        <w:t>доцетаксела</w:t>
      </w:r>
      <w:proofErr w:type="spellEnd"/>
      <w:r w:rsidR="007E171C" w:rsidRPr="00007C81">
        <w:rPr>
          <w:rFonts w:eastAsia="Batang"/>
          <w:color w:val="000000"/>
          <w:lang w:eastAsia="en-US"/>
        </w:rPr>
        <w:t xml:space="preserve"> развилась анафилаксия</w:t>
      </w:r>
      <w:r w:rsidR="00424BC6">
        <w:rPr>
          <w:rFonts w:eastAsia="Batang"/>
          <w:color w:val="000000"/>
          <w:lang w:eastAsia="en-US"/>
        </w:rPr>
        <w:t>.</w:t>
      </w:r>
      <w:r w:rsidR="006D220B">
        <w:rPr>
          <w:rFonts w:eastAsia="Batang"/>
          <w:color w:val="000000"/>
          <w:lang w:eastAsia="en-US"/>
        </w:rPr>
        <w:t xml:space="preserve"> </w:t>
      </w:r>
    </w:p>
    <w:p w14:paraId="1170BF7D" w14:textId="3895A587" w:rsidR="007E171C" w:rsidRDefault="00E84682" w:rsidP="00C957E2">
      <w:pPr>
        <w:suppressLineNumbers/>
        <w:tabs>
          <w:tab w:val="left" w:pos="567"/>
        </w:tabs>
        <w:spacing w:line="360" w:lineRule="auto"/>
        <w:rPr>
          <w:rFonts w:eastAsia="SimSun"/>
          <w:lang w:eastAsia="en-US"/>
        </w:rPr>
      </w:pPr>
      <w:r>
        <w:rPr>
          <w:rFonts w:eastAsia="SimSun"/>
          <w:color w:val="000000"/>
          <w:lang w:eastAsia="en-US"/>
        </w:rPr>
        <w:t>В целом, б</w:t>
      </w:r>
      <w:r w:rsidR="007E171C" w:rsidRPr="007A66BD">
        <w:rPr>
          <w:rFonts w:eastAsia="SimSun"/>
          <w:color w:val="000000"/>
          <w:lang w:eastAsia="en-US"/>
        </w:rPr>
        <w:t xml:space="preserve">ольшинство реакций гиперчувствительности были легкой или средней степени тяжести и разрешались после </w:t>
      </w:r>
      <w:r w:rsidR="007E171C" w:rsidRPr="00007C81">
        <w:rPr>
          <w:rFonts w:eastAsia="SimSun"/>
          <w:color w:val="000000"/>
          <w:lang w:eastAsia="en-US"/>
        </w:rPr>
        <w:t>соответствующего</w:t>
      </w:r>
      <w:r w:rsidR="007E171C" w:rsidRPr="007A66BD">
        <w:rPr>
          <w:rFonts w:eastAsia="SimSun"/>
          <w:color w:val="000000"/>
          <w:lang w:eastAsia="en-US"/>
        </w:rPr>
        <w:t xml:space="preserve"> лечения.</w:t>
      </w:r>
      <w:r w:rsidR="007E171C" w:rsidRPr="007A66BD">
        <w:rPr>
          <w:rFonts w:eastAsia="SimSun"/>
          <w:color w:val="FF0000"/>
          <w:lang w:eastAsia="en-US"/>
        </w:rPr>
        <w:t xml:space="preserve"> </w:t>
      </w:r>
      <w:r w:rsidR="007E171C">
        <w:rPr>
          <w:rFonts w:eastAsia="SimSun"/>
          <w:lang w:eastAsia="en-US"/>
        </w:rPr>
        <w:t xml:space="preserve">По результатам анализа реакций гиперчувствительности при изменении режимов дозирования препаратов, установлено, что явления гиперчувствительности были связаны с инфузиями </w:t>
      </w:r>
      <w:proofErr w:type="spellStart"/>
      <w:r w:rsidR="007E171C">
        <w:rPr>
          <w:rFonts w:eastAsia="SimSun"/>
          <w:lang w:eastAsia="en-US"/>
        </w:rPr>
        <w:t>доцетаксела</w:t>
      </w:r>
      <w:proofErr w:type="spellEnd"/>
      <w:r w:rsidR="007E171C">
        <w:rPr>
          <w:rFonts w:eastAsia="SimSun"/>
          <w:lang w:eastAsia="en-US"/>
        </w:rPr>
        <w:t xml:space="preserve">. </w:t>
      </w:r>
    </w:p>
    <w:p w14:paraId="2D6EE093" w14:textId="409B033D" w:rsidR="00EF5E07" w:rsidRDefault="006B08DB" w:rsidP="00C957E2">
      <w:pPr>
        <w:suppressLineNumbers/>
        <w:tabs>
          <w:tab w:val="left" w:pos="567"/>
        </w:tabs>
        <w:spacing w:line="360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lastRenderedPageBreak/>
        <w:t xml:space="preserve">На фоне </w:t>
      </w:r>
      <w:proofErr w:type="spellStart"/>
      <w:r>
        <w:rPr>
          <w:rFonts w:eastAsia="SimSun"/>
          <w:color w:val="000000"/>
          <w:lang w:eastAsia="zh-CN"/>
        </w:rPr>
        <w:t>неоадъювантной</w:t>
      </w:r>
      <w:proofErr w:type="spellEnd"/>
      <w:r>
        <w:rPr>
          <w:rFonts w:eastAsia="SimSun"/>
          <w:color w:val="000000"/>
          <w:lang w:eastAsia="zh-CN"/>
        </w:rPr>
        <w:t xml:space="preserve"> </w:t>
      </w:r>
      <w:r w:rsidR="00077D76">
        <w:rPr>
          <w:rFonts w:eastAsia="SimSun"/>
          <w:color w:val="000000"/>
          <w:lang w:eastAsia="zh-CN"/>
        </w:rPr>
        <w:t xml:space="preserve">и </w:t>
      </w:r>
      <w:proofErr w:type="spellStart"/>
      <w:r w:rsidR="00077D76">
        <w:rPr>
          <w:rFonts w:eastAsia="SimSun"/>
          <w:color w:val="000000"/>
          <w:lang w:eastAsia="zh-CN"/>
        </w:rPr>
        <w:t>адъювантной</w:t>
      </w:r>
      <w:proofErr w:type="spellEnd"/>
      <w:r w:rsidR="00077D76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терапии</w:t>
      </w:r>
      <w:r w:rsidR="00AC4AAF">
        <w:rPr>
          <w:rFonts w:eastAsia="SimSun"/>
          <w:color w:val="000000"/>
          <w:lang w:eastAsia="zh-CN"/>
        </w:rPr>
        <w:t xml:space="preserve"> </w:t>
      </w:r>
      <w:r w:rsidR="00EF5E07">
        <w:rPr>
          <w:rFonts w:eastAsia="SimSun"/>
          <w:color w:val="000000"/>
          <w:lang w:eastAsia="zh-CN"/>
        </w:rPr>
        <w:t>частота реакций гиперчувствительности</w:t>
      </w:r>
      <w:r w:rsidR="00E43210">
        <w:rPr>
          <w:rFonts w:eastAsia="SimSun"/>
          <w:color w:val="000000"/>
          <w:lang w:eastAsia="zh-CN"/>
        </w:rPr>
        <w:t>/</w:t>
      </w:r>
      <w:r w:rsidR="00EF5E07">
        <w:rPr>
          <w:rFonts w:eastAsia="SimSun"/>
          <w:color w:val="000000"/>
          <w:lang w:eastAsia="zh-CN"/>
        </w:rPr>
        <w:t>анафилаксии была сходной.</w:t>
      </w:r>
    </w:p>
    <w:p w14:paraId="11AA29CB" w14:textId="15D81CCB" w:rsidR="00EF5E07" w:rsidRDefault="00425CF1" w:rsidP="00C957E2">
      <w:pPr>
        <w:suppressLineNumbers/>
        <w:tabs>
          <w:tab w:val="left" w:pos="567"/>
        </w:tabs>
        <w:spacing w:line="360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С</w:t>
      </w:r>
      <w:r w:rsidR="006A5E93">
        <w:rPr>
          <w:rFonts w:eastAsia="SimSun"/>
          <w:color w:val="000000"/>
          <w:lang w:eastAsia="zh-CN"/>
        </w:rPr>
        <w:t>луча</w:t>
      </w:r>
      <w:r>
        <w:rPr>
          <w:rFonts w:eastAsia="SimSun"/>
          <w:color w:val="000000"/>
          <w:lang w:eastAsia="zh-CN"/>
        </w:rPr>
        <w:t>и</w:t>
      </w:r>
      <w:r w:rsidR="006A5E93">
        <w:rPr>
          <w:rFonts w:eastAsia="SimSun"/>
          <w:color w:val="000000"/>
          <w:lang w:eastAsia="zh-CN"/>
        </w:rPr>
        <w:t xml:space="preserve"> анафилаксии</w:t>
      </w:r>
      <w:r>
        <w:rPr>
          <w:rFonts w:eastAsia="SimSun"/>
          <w:color w:val="000000"/>
          <w:lang w:eastAsia="zh-CN"/>
        </w:rPr>
        <w:t xml:space="preserve"> зафиксированы у 2.1% </w:t>
      </w:r>
      <w:r w:rsidR="00EF5E07">
        <w:rPr>
          <w:rFonts w:eastAsia="SimSun"/>
          <w:color w:val="000000"/>
          <w:lang w:eastAsia="zh-CN"/>
        </w:rPr>
        <w:t xml:space="preserve">пациентов, получавших </w:t>
      </w:r>
      <w:proofErr w:type="spellStart"/>
      <w:r w:rsidR="00EF5E07">
        <w:rPr>
          <w:rFonts w:eastAsia="SimSun"/>
          <w:color w:val="000000"/>
          <w:lang w:eastAsia="zh-CN"/>
        </w:rPr>
        <w:t>неоадъювантную</w:t>
      </w:r>
      <w:proofErr w:type="spellEnd"/>
      <w:r w:rsidR="00EF5E07">
        <w:rPr>
          <w:rFonts w:eastAsia="SimSun"/>
          <w:color w:val="000000"/>
          <w:lang w:eastAsia="zh-CN"/>
        </w:rPr>
        <w:t xml:space="preserve"> терапию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EF5E07">
        <w:rPr>
          <w:rFonts w:eastAsia="SimSun"/>
          <w:color w:val="000000"/>
          <w:lang w:eastAsia="zh-CN"/>
        </w:rPr>
        <w:t xml:space="preserve"> и </w:t>
      </w:r>
      <w:proofErr w:type="spellStart"/>
      <w:r w:rsidR="00EF5E07">
        <w:rPr>
          <w:rFonts w:eastAsia="SimSun"/>
          <w:color w:val="000000"/>
          <w:lang w:eastAsia="zh-CN"/>
        </w:rPr>
        <w:t>доцетакселом</w:t>
      </w:r>
      <w:proofErr w:type="spellEnd"/>
      <w:r w:rsidR="00EF5E07">
        <w:rPr>
          <w:rFonts w:eastAsia="SimSun"/>
          <w:color w:val="000000"/>
          <w:lang w:eastAsia="zh-CN"/>
        </w:rPr>
        <w:t xml:space="preserve"> в течение 4 циклов перед хирургической операцией. </w:t>
      </w:r>
    </w:p>
    <w:p w14:paraId="481201AD" w14:textId="615DED93" w:rsidR="005736BD" w:rsidRPr="005736BD" w:rsidRDefault="00D74A18" w:rsidP="00C957E2">
      <w:pPr>
        <w:suppressLineNumbers/>
        <w:tabs>
          <w:tab w:val="left" w:pos="567"/>
        </w:tabs>
        <w:spacing w:line="360" w:lineRule="auto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В целом, о</w:t>
      </w:r>
      <w:r w:rsidR="00EF5E07">
        <w:rPr>
          <w:rFonts w:eastAsia="SimSun"/>
          <w:color w:val="000000"/>
          <w:lang w:eastAsia="zh-CN"/>
        </w:rPr>
        <w:t>бщая частота реакций</w:t>
      </w:r>
      <w:r w:rsidR="005736BD">
        <w:rPr>
          <w:rFonts w:eastAsia="SimSun"/>
          <w:color w:val="000000"/>
          <w:lang w:eastAsia="zh-CN"/>
        </w:rPr>
        <w:t xml:space="preserve"> гиперчувствительности</w:t>
      </w:r>
      <w:r w:rsidR="00EF5E07">
        <w:rPr>
          <w:rFonts w:eastAsia="SimSun"/>
          <w:color w:val="000000"/>
          <w:lang w:eastAsia="zh-CN"/>
        </w:rPr>
        <w:t xml:space="preserve">/анафилаксии </w:t>
      </w:r>
      <w:r w:rsidR="00CF56CD">
        <w:rPr>
          <w:rFonts w:eastAsia="SimSun"/>
          <w:color w:val="000000"/>
          <w:lang w:eastAsia="zh-CN"/>
        </w:rPr>
        <w:t xml:space="preserve">была выше при применении препарата </w:t>
      </w:r>
      <w:proofErr w:type="spellStart"/>
      <w:r w:rsidR="00CF56CD">
        <w:t>Перьета</w:t>
      </w:r>
      <w:proofErr w:type="spellEnd"/>
      <w:r w:rsidR="00CF56CD" w:rsidRPr="006E2758">
        <w:rPr>
          <w:vertAlign w:val="superscript"/>
        </w:rPr>
        <w:t>®</w:t>
      </w:r>
      <w:r w:rsidR="00CF56CD">
        <w:rPr>
          <w:rFonts w:eastAsia="SimSun"/>
          <w:color w:val="000000"/>
          <w:lang w:eastAsia="zh-CN"/>
        </w:rPr>
        <w:t xml:space="preserve"> в комбинации с </w:t>
      </w:r>
      <w:proofErr w:type="spellStart"/>
      <w:r w:rsidR="00CF56CD">
        <w:rPr>
          <w:rFonts w:eastAsia="SimSun"/>
          <w:color w:val="000000"/>
          <w:lang w:eastAsia="zh-CN"/>
        </w:rPr>
        <w:t>трастузумабом</w:t>
      </w:r>
      <w:proofErr w:type="spellEnd"/>
      <w:r w:rsidR="00CF56CD">
        <w:rPr>
          <w:rFonts w:eastAsia="SimSun"/>
          <w:color w:val="000000"/>
          <w:lang w:eastAsia="zh-CN"/>
        </w:rPr>
        <w:t xml:space="preserve">, </w:t>
      </w:r>
      <w:proofErr w:type="spellStart"/>
      <w:r w:rsidR="00CF56CD">
        <w:rPr>
          <w:rFonts w:eastAsia="SimSun"/>
          <w:color w:val="000000"/>
          <w:lang w:eastAsia="zh-CN"/>
        </w:rPr>
        <w:t>доцетакселом</w:t>
      </w:r>
      <w:proofErr w:type="spellEnd"/>
      <w:r w:rsidR="00CF56CD">
        <w:rPr>
          <w:rFonts w:eastAsia="SimSun"/>
          <w:color w:val="000000"/>
          <w:lang w:eastAsia="zh-CN"/>
        </w:rPr>
        <w:t xml:space="preserve"> и </w:t>
      </w:r>
      <w:proofErr w:type="spellStart"/>
      <w:r w:rsidR="00CF56CD">
        <w:rPr>
          <w:rFonts w:eastAsia="SimSun"/>
          <w:color w:val="000000"/>
          <w:lang w:eastAsia="zh-CN"/>
        </w:rPr>
        <w:t>карбоплатином</w:t>
      </w:r>
      <w:proofErr w:type="spellEnd"/>
      <w:r w:rsidR="00CF56CD">
        <w:rPr>
          <w:rFonts w:eastAsia="SimSun"/>
          <w:color w:val="000000"/>
          <w:lang w:eastAsia="zh-CN"/>
        </w:rPr>
        <w:t xml:space="preserve"> как </w:t>
      </w:r>
      <w:r w:rsidR="00EF5E07">
        <w:rPr>
          <w:rFonts w:eastAsia="SimSun"/>
          <w:color w:val="000000"/>
          <w:lang w:eastAsia="zh-CN"/>
        </w:rPr>
        <w:t xml:space="preserve">в ходе </w:t>
      </w:r>
      <w:proofErr w:type="spellStart"/>
      <w:r w:rsidR="00EF5E07">
        <w:rPr>
          <w:rFonts w:eastAsia="SimSun"/>
          <w:color w:val="000000"/>
          <w:lang w:eastAsia="zh-CN"/>
        </w:rPr>
        <w:t>неоадъювантной</w:t>
      </w:r>
      <w:proofErr w:type="spellEnd"/>
      <w:r w:rsidR="00CF56CD">
        <w:rPr>
          <w:rFonts w:eastAsia="SimSun"/>
          <w:color w:val="000000"/>
          <w:lang w:eastAsia="zh-CN"/>
        </w:rPr>
        <w:t xml:space="preserve"> (13.2%)</w:t>
      </w:r>
      <w:r w:rsidR="00896456">
        <w:rPr>
          <w:rFonts w:eastAsia="SimSun"/>
          <w:color w:val="000000"/>
          <w:lang w:eastAsia="zh-CN"/>
        </w:rPr>
        <w:t>,</w:t>
      </w:r>
      <w:r w:rsidR="00CF72BE">
        <w:rPr>
          <w:rFonts w:eastAsia="SimSun"/>
          <w:color w:val="000000"/>
          <w:lang w:eastAsia="zh-CN"/>
        </w:rPr>
        <w:t xml:space="preserve"> </w:t>
      </w:r>
      <w:r w:rsidR="00CF56CD">
        <w:rPr>
          <w:rFonts w:eastAsia="SimSun"/>
          <w:color w:val="000000"/>
          <w:lang w:eastAsia="zh-CN"/>
        </w:rPr>
        <w:t xml:space="preserve">так и в ходе </w:t>
      </w:r>
      <w:proofErr w:type="spellStart"/>
      <w:r w:rsidR="00CF72BE">
        <w:rPr>
          <w:rFonts w:eastAsia="SimSun"/>
          <w:color w:val="000000"/>
          <w:lang w:eastAsia="zh-CN"/>
        </w:rPr>
        <w:t>адъювантной</w:t>
      </w:r>
      <w:proofErr w:type="spellEnd"/>
      <w:r w:rsidR="00CF56CD">
        <w:rPr>
          <w:rFonts w:eastAsia="SimSun"/>
          <w:color w:val="000000"/>
          <w:lang w:eastAsia="zh-CN"/>
        </w:rPr>
        <w:t xml:space="preserve"> (7.6%) терапии. П</w:t>
      </w:r>
      <w:r w:rsidR="00EF5E07">
        <w:rPr>
          <w:rFonts w:eastAsia="SimSun"/>
          <w:color w:val="000000"/>
          <w:lang w:eastAsia="zh-CN"/>
        </w:rPr>
        <w:t xml:space="preserve">ри этом у 2.6% </w:t>
      </w:r>
      <w:r w:rsidR="00CF72BE">
        <w:rPr>
          <w:rFonts w:eastAsia="SimSun"/>
          <w:color w:val="000000"/>
          <w:lang w:eastAsia="zh-CN"/>
        </w:rPr>
        <w:t>и 1.</w:t>
      </w:r>
      <w:r w:rsidR="00374F0C">
        <w:rPr>
          <w:rFonts w:eastAsia="SimSun"/>
          <w:color w:val="000000"/>
          <w:lang w:eastAsia="zh-CN"/>
        </w:rPr>
        <w:t>3</w:t>
      </w:r>
      <w:r w:rsidR="00CF72BE">
        <w:rPr>
          <w:rFonts w:eastAsia="SimSun"/>
          <w:color w:val="000000"/>
          <w:lang w:eastAsia="zh-CN"/>
        </w:rPr>
        <w:t xml:space="preserve">% </w:t>
      </w:r>
      <w:r w:rsidR="00EF5E07">
        <w:rPr>
          <w:rFonts w:eastAsia="SimSun"/>
          <w:color w:val="000000"/>
          <w:lang w:eastAsia="zh-CN"/>
        </w:rPr>
        <w:t xml:space="preserve">пациентов </w:t>
      </w:r>
      <w:r w:rsidR="00CF72BE">
        <w:rPr>
          <w:rFonts w:eastAsia="SimSun"/>
          <w:color w:val="000000"/>
          <w:lang w:eastAsia="zh-CN"/>
        </w:rPr>
        <w:t xml:space="preserve">соответственно </w:t>
      </w:r>
      <w:r w:rsidR="00EF5E07">
        <w:rPr>
          <w:rFonts w:eastAsia="SimSun"/>
          <w:color w:val="000000"/>
          <w:lang w:eastAsia="zh-CN"/>
        </w:rPr>
        <w:t xml:space="preserve">наблюдались реакции 3-4 степени тяжести </w:t>
      </w:r>
      <w:r w:rsidR="00EF5E07" w:rsidRPr="00424BC6">
        <w:rPr>
          <w:rFonts w:eastAsia="SimSun"/>
          <w:color w:val="000000"/>
          <w:lang w:eastAsia="en-US"/>
        </w:rPr>
        <w:t xml:space="preserve">по классификации </w:t>
      </w:r>
      <w:r w:rsidR="00EF5E07" w:rsidRPr="00424BC6">
        <w:rPr>
          <w:rFonts w:eastAsia="SimSun"/>
          <w:color w:val="000000"/>
          <w:lang w:val="en-GB" w:eastAsia="en-US"/>
        </w:rPr>
        <w:t>NCI</w:t>
      </w:r>
      <w:r w:rsidR="00EF5E07" w:rsidRPr="00424BC6">
        <w:rPr>
          <w:rFonts w:eastAsia="SimSun"/>
          <w:color w:val="000000"/>
          <w:lang w:eastAsia="en-US"/>
        </w:rPr>
        <w:t>-</w:t>
      </w:r>
      <w:r w:rsidR="00EF5E07" w:rsidRPr="00424BC6">
        <w:rPr>
          <w:rFonts w:eastAsia="SimSun"/>
          <w:color w:val="000000"/>
          <w:lang w:val="en-GB" w:eastAsia="en-US"/>
        </w:rPr>
        <w:t>CTCAE</w:t>
      </w:r>
      <w:r w:rsidR="00077D76">
        <w:rPr>
          <w:rFonts w:eastAsia="SimSun"/>
          <w:color w:val="000000"/>
          <w:lang w:eastAsia="en-US"/>
        </w:rPr>
        <w:t>.</w:t>
      </w:r>
    </w:p>
    <w:p w14:paraId="75D714C6" w14:textId="77777777" w:rsidR="007E171C" w:rsidRPr="004C407A" w:rsidRDefault="007E171C" w:rsidP="00C957E2">
      <w:pPr>
        <w:spacing w:line="360" w:lineRule="auto"/>
        <w:rPr>
          <w:rFonts w:eastAsia="SimSun"/>
          <w:i/>
          <w:lang w:eastAsia="en-US"/>
        </w:rPr>
      </w:pPr>
      <w:r w:rsidRPr="004C407A">
        <w:rPr>
          <w:rFonts w:eastAsia="Batang"/>
          <w:i/>
          <w:lang w:eastAsia="en-US"/>
        </w:rPr>
        <w:t>Отклонения от нормы лабораторных показателей</w:t>
      </w:r>
    </w:p>
    <w:p w14:paraId="639DB994" w14:textId="7FBCADB6" w:rsidR="00ED4C8B" w:rsidRDefault="007E171C" w:rsidP="00C957E2">
      <w:pPr>
        <w:spacing w:line="360" w:lineRule="auto"/>
        <w:rPr>
          <w:rFonts w:eastAsia="Batang"/>
          <w:lang w:eastAsia="en-US"/>
        </w:rPr>
      </w:pPr>
      <w:r w:rsidRPr="00417FA3">
        <w:rPr>
          <w:rFonts w:eastAsia="Batang"/>
          <w:lang w:eastAsia="en-US"/>
        </w:rPr>
        <w:t xml:space="preserve">Частота случаев снижения </w:t>
      </w:r>
      <w:r w:rsidR="00424BC6" w:rsidRPr="00417FA3">
        <w:rPr>
          <w:rFonts w:eastAsia="Batang"/>
          <w:lang w:eastAsia="en-US"/>
        </w:rPr>
        <w:t>числа</w:t>
      </w:r>
      <w:r w:rsidRPr="00417FA3">
        <w:rPr>
          <w:rFonts w:eastAsia="Batang"/>
          <w:lang w:eastAsia="en-US"/>
        </w:rPr>
        <w:t xml:space="preserve"> нейтрофилов 3-4-й степени тяжести по классификации NCI-CTCAE</w:t>
      </w:r>
      <w:r w:rsidR="00807444">
        <w:rPr>
          <w:rFonts w:eastAsia="Batang"/>
          <w:lang w:eastAsia="en-US"/>
        </w:rPr>
        <w:t>,</w:t>
      </w:r>
      <w:r w:rsidR="000515BB">
        <w:rPr>
          <w:rFonts w:eastAsia="Batang"/>
          <w:lang w:eastAsia="en-US"/>
        </w:rPr>
        <w:t xml:space="preserve"> </w:t>
      </w:r>
      <w:r w:rsidRPr="00417FA3">
        <w:rPr>
          <w:rFonts w:eastAsia="Batang"/>
          <w:lang w:eastAsia="en-US"/>
        </w:rPr>
        <w:t xml:space="preserve">была приблизительно одинаковой </w:t>
      </w:r>
      <w:r w:rsidR="00ED4C8B">
        <w:rPr>
          <w:rFonts w:eastAsia="Batang"/>
          <w:lang w:eastAsia="en-US"/>
        </w:rPr>
        <w:t>в следующих режимах</w:t>
      </w:r>
      <w:r w:rsidR="00E16874">
        <w:rPr>
          <w:rFonts w:eastAsia="Batang"/>
          <w:lang w:eastAsia="en-US"/>
        </w:rPr>
        <w:t>:</w:t>
      </w:r>
      <w:r w:rsidRPr="00417FA3">
        <w:rPr>
          <w:rFonts w:eastAsia="Batang"/>
          <w:lang w:eastAsia="en-US"/>
        </w:rPr>
        <w:t xml:space="preserve"> </w:t>
      </w:r>
    </w:p>
    <w:p w14:paraId="3A994A09" w14:textId="38DC04A6" w:rsidR="00ED4C8B" w:rsidRPr="00ED4C8B" w:rsidRDefault="007E171C" w:rsidP="00D074FE">
      <w:pPr>
        <w:pStyle w:val="ListParagraph"/>
        <w:numPr>
          <w:ilvl w:val="0"/>
          <w:numId w:val="56"/>
        </w:numPr>
        <w:spacing w:line="360" w:lineRule="auto"/>
        <w:rPr>
          <w:rFonts w:eastAsia="Batang"/>
          <w:lang w:eastAsia="en-US"/>
        </w:rPr>
      </w:pPr>
      <w:r w:rsidRPr="00ED4C8B">
        <w:rPr>
          <w:rFonts w:eastAsia="Batang"/>
          <w:lang w:eastAsia="en-US"/>
        </w:rPr>
        <w:t xml:space="preserve">комбинации </w:t>
      </w:r>
      <w:r w:rsidR="00E856AD" w:rsidRPr="00ED4C8B">
        <w:rPr>
          <w:rFonts w:eastAsia="Batang"/>
          <w:lang w:eastAsia="en-US"/>
        </w:rPr>
        <w:t>трастузумаба</w:t>
      </w:r>
      <w:r w:rsidRPr="00ED4C8B">
        <w:rPr>
          <w:rFonts w:eastAsia="Batang"/>
          <w:lang w:eastAsia="en-US"/>
        </w:rPr>
        <w:t xml:space="preserve"> и </w:t>
      </w:r>
      <w:proofErr w:type="spellStart"/>
      <w:r w:rsidRPr="00ED4C8B">
        <w:rPr>
          <w:rFonts w:eastAsia="Batang"/>
          <w:lang w:eastAsia="en-US"/>
        </w:rPr>
        <w:t>доцетаксела</w:t>
      </w:r>
      <w:proofErr w:type="spellEnd"/>
      <w:r w:rsidRPr="00ED4C8B">
        <w:rPr>
          <w:rFonts w:eastAsia="Batang"/>
          <w:lang w:eastAsia="en-US"/>
        </w:rPr>
        <w:t xml:space="preserve"> </w:t>
      </w:r>
      <w:r w:rsidR="003C2AA1" w:rsidRPr="00ED4C8B">
        <w:rPr>
          <w:rFonts w:eastAsia="Batang"/>
          <w:lang w:eastAsia="en-US"/>
        </w:rPr>
        <w:t xml:space="preserve">одновременно </w:t>
      </w:r>
      <w:r w:rsidRPr="00ED4C8B">
        <w:rPr>
          <w:rFonts w:eastAsia="Batang"/>
          <w:lang w:eastAsia="en-US"/>
        </w:rPr>
        <w:t xml:space="preserve">с препаратом </w:t>
      </w:r>
      <w:proofErr w:type="spellStart"/>
      <w:r w:rsidR="009E4769">
        <w:t>Перьета</w:t>
      </w:r>
      <w:proofErr w:type="spellEnd"/>
      <w:r w:rsidR="009E4769" w:rsidRPr="00ED4C8B">
        <w:rPr>
          <w:vertAlign w:val="superscript"/>
        </w:rPr>
        <w:t>®</w:t>
      </w:r>
      <w:r w:rsidRPr="00ED4C8B">
        <w:rPr>
          <w:rFonts w:eastAsia="Batang"/>
          <w:lang w:eastAsia="en-US"/>
        </w:rPr>
        <w:t xml:space="preserve"> и без него</w:t>
      </w:r>
      <w:r w:rsidR="003E2911" w:rsidRPr="00ED4C8B">
        <w:rPr>
          <w:rFonts w:eastAsia="Batang"/>
          <w:lang w:eastAsia="en-US"/>
        </w:rPr>
        <w:t xml:space="preserve"> у пациентов с метастатическим раком молочной железы</w:t>
      </w:r>
      <w:r w:rsidR="00C62960">
        <w:rPr>
          <w:rFonts w:eastAsia="Batang"/>
          <w:lang w:eastAsia="en-US"/>
        </w:rPr>
        <w:t>;</w:t>
      </w:r>
      <w:r w:rsidR="00BE541C" w:rsidRPr="00ED4C8B">
        <w:rPr>
          <w:rFonts w:eastAsia="Batang"/>
          <w:lang w:eastAsia="en-US"/>
        </w:rPr>
        <w:t xml:space="preserve"> </w:t>
      </w:r>
    </w:p>
    <w:p w14:paraId="47EA7DBF" w14:textId="1D997780" w:rsidR="00ED4C8B" w:rsidRPr="00ED4C8B" w:rsidRDefault="00BE541C" w:rsidP="00D074FE">
      <w:pPr>
        <w:pStyle w:val="ListParagraph"/>
        <w:numPr>
          <w:ilvl w:val="0"/>
          <w:numId w:val="56"/>
        </w:numPr>
        <w:spacing w:line="360" w:lineRule="auto"/>
        <w:rPr>
          <w:rFonts w:eastAsia="Batang"/>
          <w:lang w:eastAsia="en-US"/>
        </w:rPr>
      </w:pPr>
      <w:r w:rsidRPr="00ED4C8B">
        <w:rPr>
          <w:rFonts w:eastAsia="Batang"/>
          <w:lang w:eastAsia="en-US"/>
        </w:rPr>
        <w:t>комбинации трастузумаб</w:t>
      </w:r>
      <w:r w:rsidR="00D213EB" w:rsidRPr="00ED4C8B">
        <w:rPr>
          <w:rFonts w:eastAsia="Batang"/>
          <w:lang w:eastAsia="en-US"/>
        </w:rPr>
        <w:t>а</w:t>
      </w:r>
      <w:r w:rsidR="002A5B6E" w:rsidRPr="00ED4C8B">
        <w:rPr>
          <w:rFonts w:eastAsia="Batang"/>
          <w:lang w:eastAsia="en-US"/>
        </w:rPr>
        <w:t xml:space="preserve"> и/или</w:t>
      </w:r>
      <w:r w:rsidRPr="00ED4C8B">
        <w:rPr>
          <w:rFonts w:eastAsia="Batang"/>
          <w:lang w:eastAsia="en-US"/>
        </w:rPr>
        <w:t xml:space="preserve"> </w:t>
      </w:r>
      <w:proofErr w:type="spellStart"/>
      <w:r w:rsidRPr="00ED4C8B">
        <w:rPr>
          <w:rFonts w:eastAsia="Batang"/>
          <w:lang w:eastAsia="en-US"/>
        </w:rPr>
        <w:t>доцетаксел</w:t>
      </w:r>
      <w:r w:rsidR="00D213EB" w:rsidRPr="00ED4C8B">
        <w:rPr>
          <w:rFonts w:eastAsia="Batang"/>
          <w:lang w:eastAsia="en-US"/>
        </w:rPr>
        <w:t>а</w:t>
      </w:r>
      <w:proofErr w:type="spellEnd"/>
      <w:r w:rsidR="00D213EB" w:rsidRPr="00ED4C8B">
        <w:rPr>
          <w:rFonts w:eastAsia="Batang"/>
          <w:lang w:eastAsia="en-US"/>
        </w:rPr>
        <w:t xml:space="preserve"> с препаратом </w:t>
      </w:r>
      <w:proofErr w:type="spellStart"/>
      <w:r w:rsidR="00D213EB" w:rsidRPr="00ED4C8B">
        <w:rPr>
          <w:rFonts w:eastAsia="Batang"/>
          <w:lang w:eastAsia="en-US"/>
        </w:rPr>
        <w:t>Перьета</w:t>
      </w:r>
      <w:proofErr w:type="spellEnd"/>
      <w:r w:rsidR="00D213EB" w:rsidRPr="00ED4C8B">
        <w:rPr>
          <w:vertAlign w:val="superscript"/>
        </w:rPr>
        <w:t>®</w:t>
      </w:r>
      <w:r w:rsidR="00D213EB" w:rsidRPr="00ED4C8B">
        <w:rPr>
          <w:rFonts w:eastAsia="Batang"/>
          <w:lang w:eastAsia="en-US"/>
        </w:rPr>
        <w:t xml:space="preserve"> и без него</w:t>
      </w:r>
      <w:r w:rsidRPr="00ED4C8B">
        <w:rPr>
          <w:rFonts w:eastAsia="Batang"/>
          <w:lang w:eastAsia="en-US"/>
        </w:rPr>
        <w:t xml:space="preserve"> в рамках </w:t>
      </w:r>
      <w:proofErr w:type="spellStart"/>
      <w:r w:rsidRPr="00ED4C8B">
        <w:rPr>
          <w:rFonts w:eastAsia="Batang"/>
          <w:lang w:eastAsia="en-US"/>
        </w:rPr>
        <w:t>неоадъювантной</w:t>
      </w:r>
      <w:proofErr w:type="spellEnd"/>
      <w:r w:rsidRPr="00ED4C8B">
        <w:rPr>
          <w:rFonts w:eastAsia="Batang"/>
          <w:lang w:eastAsia="en-US"/>
        </w:rPr>
        <w:t xml:space="preserve"> терапии</w:t>
      </w:r>
      <w:r w:rsidR="0081671C" w:rsidRPr="00ED4C8B">
        <w:rPr>
          <w:rFonts w:eastAsia="Batang"/>
          <w:lang w:eastAsia="en-US"/>
        </w:rPr>
        <w:t xml:space="preserve"> раннего рака молочной железы</w:t>
      </w:r>
      <w:r w:rsidR="00ED4C8B" w:rsidRPr="00ED4C8B">
        <w:rPr>
          <w:rFonts w:eastAsia="Batang"/>
          <w:lang w:eastAsia="en-US"/>
        </w:rPr>
        <w:t>;</w:t>
      </w:r>
      <w:r w:rsidRPr="00ED4C8B">
        <w:rPr>
          <w:rFonts w:eastAsia="Batang"/>
          <w:lang w:eastAsia="en-US"/>
        </w:rPr>
        <w:t xml:space="preserve"> </w:t>
      </w:r>
    </w:p>
    <w:p w14:paraId="5A748474" w14:textId="7D9FC457" w:rsidR="00ED4C8B" w:rsidRPr="00ED4C8B" w:rsidRDefault="00D213EB" w:rsidP="00D074FE">
      <w:pPr>
        <w:pStyle w:val="ListParagraph"/>
        <w:numPr>
          <w:ilvl w:val="0"/>
          <w:numId w:val="56"/>
        </w:numPr>
        <w:spacing w:line="360" w:lineRule="auto"/>
        <w:rPr>
          <w:rFonts w:eastAsia="Batang"/>
          <w:lang w:eastAsia="en-US"/>
        </w:rPr>
      </w:pPr>
      <w:r>
        <w:t xml:space="preserve">комбинации </w:t>
      </w:r>
      <w:r w:rsidR="00BE541C">
        <w:t>трастузумаб</w:t>
      </w:r>
      <w:r>
        <w:t>а</w:t>
      </w:r>
      <w:r w:rsidR="00BE541C">
        <w:t xml:space="preserve"> и </w:t>
      </w:r>
      <w:r w:rsidR="00E16874">
        <w:t>химиотерапи</w:t>
      </w:r>
      <w:r>
        <w:t xml:space="preserve">и с препаратом </w:t>
      </w:r>
      <w:proofErr w:type="spellStart"/>
      <w:r>
        <w:t>Перьета</w:t>
      </w:r>
      <w:proofErr w:type="spellEnd"/>
      <w:r w:rsidRPr="00ED4C8B">
        <w:rPr>
          <w:vertAlign w:val="superscript"/>
        </w:rPr>
        <w:t>®</w:t>
      </w:r>
      <w:r w:rsidR="00BE541C" w:rsidRPr="00ED4C8B">
        <w:rPr>
          <w:rFonts w:eastAsia="Batang"/>
          <w:lang w:eastAsia="en-US"/>
        </w:rPr>
        <w:t xml:space="preserve"> </w:t>
      </w:r>
      <w:r w:rsidR="0081671C" w:rsidRPr="00ED4C8B">
        <w:rPr>
          <w:rFonts w:eastAsia="Batang"/>
          <w:lang w:eastAsia="en-US"/>
        </w:rPr>
        <w:t>и без него</w:t>
      </w:r>
      <w:r w:rsidR="00BE541C" w:rsidRPr="00ED4C8B">
        <w:rPr>
          <w:rFonts w:eastAsia="Batang"/>
          <w:lang w:eastAsia="en-US"/>
        </w:rPr>
        <w:t xml:space="preserve"> </w:t>
      </w:r>
      <w:r w:rsidR="0081671C" w:rsidRPr="00ED4C8B">
        <w:rPr>
          <w:rFonts w:eastAsia="Batang"/>
          <w:lang w:eastAsia="en-US"/>
        </w:rPr>
        <w:t xml:space="preserve">в рамках </w:t>
      </w:r>
      <w:proofErr w:type="spellStart"/>
      <w:r w:rsidR="0081671C" w:rsidRPr="00ED4C8B">
        <w:rPr>
          <w:rFonts w:eastAsia="Batang"/>
          <w:lang w:eastAsia="en-US"/>
        </w:rPr>
        <w:t>адъювантной</w:t>
      </w:r>
      <w:proofErr w:type="spellEnd"/>
      <w:r w:rsidR="0081671C" w:rsidRPr="00ED4C8B">
        <w:rPr>
          <w:rFonts w:eastAsia="Batang"/>
          <w:lang w:eastAsia="en-US"/>
        </w:rPr>
        <w:t xml:space="preserve"> терапии раннего рака молочной железы</w:t>
      </w:r>
      <w:r w:rsidR="001B2A9C">
        <w:rPr>
          <w:rFonts w:eastAsia="Batang"/>
          <w:lang w:eastAsia="en-US"/>
        </w:rPr>
        <w:t>.</w:t>
      </w:r>
    </w:p>
    <w:p w14:paraId="15839DD9" w14:textId="77777777" w:rsidR="0028117A" w:rsidRPr="00A511AD" w:rsidRDefault="0028117A" w:rsidP="00A511AD">
      <w:pPr>
        <w:suppressAutoHyphens/>
        <w:spacing w:line="360" w:lineRule="auto"/>
        <w:rPr>
          <w:b/>
          <w:bCs/>
          <w:i/>
        </w:rPr>
      </w:pPr>
      <w:r w:rsidRPr="00A511AD">
        <w:rPr>
          <w:b/>
          <w:bCs/>
          <w:i/>
        </w:rPr>
        <w:t>Пострегистрационный опыт применения</w:t>
      </w:r>
    </w:p>
    <w:p w14:paraId="65FAE401" w14:textId="54938079" w:rsidR="0028117A" w:rsidRPr="00A511AD" w:rsidRDefault="00F36B32" w:rsidP="0040593B">
      <w:pPr>
        <w:suppressAutoHyphens/>
        <w:spacing w:line="360" w:lineRule="auto"/>
        <w:rPr>
          <w:rFonts w:eastAsia="Batang"/>
          <w:color w:val="000000"/>
        </w:rPr>
      </w:pPr>
      <w:r>
        <w:t xml:space="preserve">При пострегистрационном применении препарата </w:t>
      </w:r>
      <w:proofErr w:type="spellStart"/>
      <w:r>
        <w:t>Перьета</w:t>
      </w:r>
      <w:proofErr w:type="spellEnd"/>
      <w:r w:rsidRPr="006E2758">
        <w:rPr>
          <w:vertAlign w:val="superscript"/>
        </w:rPr>
        <w:t>®</w:t>
      </w:r>
      <w:r>
        <w:t xml:space="preserve"> наблюдались случаи синдрома лизиса опухоли</w:t>
      </w:r>
      <w:r w:rsidR="0028117A" w:rsidRPr="00A511AD">
        <w:rPr>
          <w:rFonts w:eastAsia="Batang"/>
          <w:color w:val="000000"/>
        </w:rPr>
        <w:t xml:space="preserve">. </w:t>
      </w:r>
    </w:p>
    <w:p w14:paraId="7B7E182F" w14:textId="79969ED9" w:rsidR="00415951" w:rsidRPr="004C407A" w:rsidRDefault="00F36B32" w:rsidP="00415951">
      <w:pPr>
        <w:spacing w:line="360" w:lineRule="auto"/>
        <w:rPr>
          <w:rFonts w:eastAsia="SimSun"/>
          <w:i/>
          <w:lang w:eastAsia="en-US"/>
        </w:rPr>
      </w:pPr>
      <w:r>
        <w:rPr>
          <w:rFonts w:eastAsia="Batang"/>
          <w:i/>
          <w:lang w:eastAsia="en-US"/>
        </w:rPr>
        <w:t xml:space="preserve">Влияние на результаты </w:t>
      </w:r>
      <w:r w:rsidR="00897FE6">
        <w:rPr>
          <w:rFonts w:eastAsia="Batang"/>
          <w:i/>
          <w:lang w:eastAsia="en-US"/>
        </w:rPr>
        <w:t>лабораторных и инструментальных</w:t>
      </w:r>
      <w:r>
        <w:rPr>
          <w:rFonts w:eastAsia="Batang"/>
          <w:i/>
          <w:lang w:eastAsia="en-US"/>
        </w:rPr>
        <w:t xml:space="preserve"> исследований</w:t>
      </w:r>
    </w:p>
    <w:p w14:paraId="5744E258" w14:textId="307FC0C0" w:rsidR="007E171C" w:rsidRPr="00B82A80" w:rsidRDefault="001B2A9C" w:rsidP="00C957E2">
      <w:pPr>
        <w:spacing w:line="360" w:lineRule="auto"/>
        <w:rPr>
          <w:rFonts w:eastAsia="SimSun"/>
          <w:lang w:eastAsia="en-US"/>
        </w:rPr>
      </w:pPr>
      <w:r w:rsidRPr="0028117A">
        <w:rPr>
          <w:rFonts w:eastAsia="Batang"/>
          <w:lang w:eastAsia="en-US"/>
        </w:rPr>
        <w:t xml:space="preserve">Данные об отклонениях от нормы лабораторных показателей в </w:t>
      </w:r>
      <w:r w:rsidR="00374F0C" w:rsidRPr="0028117A">
        <w:rPr>
          <w:rFonts w:eastAsia="Batang"/>
          <w:lang w:eastAsia="en-US"/>
        </w:rPr>
        <w:t xml:space="preserve">пострегистрационном периоде </w:t>
      </w:r>
      <w:r w:rsidR="00C62023" w:rsidRPr="0028117A">
        <w:rPr>
          <w:rFonts w:eastAsia="Batang"/>
          <w:lang w:eastAsia="en-US"/>
        </w:rPr>
        <w:t>согласу</w:t>
      </w:r>
      <w:r w:rsidRPr="0028117A">
        <w:rPr>
          <w:rFonts w:eastAsia="Batang"/>
          <w:lang w:eastAsia="en-US"/>
        </w:rPr>
        <w:t>ю</w:t>
      </w:r>
      <w:r w:rsidR="00C62023" w:rsidRPr="0028117A">
        <w:rPr>
          <w:rFonts w:eastAsia="Batang"/>
          <w:lang w:eastAsia="en-US"/>
        </w:rPr>
        <w:t>тся с данными, полученными в</w:t>
      </w:r>
      <w:r w:rsidR="00374F0C">
        <w:rPr>
          <w:rFonts w:eastAsia="Batang"/>
          <w:lang w:eastAsia="en-US"/>
        </w:rPr>
        <w:t xml:space="preserve"> клинических исследованиях</w:t>
      </w:r>
      <w:r w:rsidR="007E171C" w:rsidRPr="0028117A">
        <w:rPr>
          <w:rFonts w:eastAsia="Batang"/>
          <w:lang w:eastAsia="en-US"/>
        </w:rPr>
        <w:t>.</w:t>
      </w:r>
    </w:p>
    <w:p w14:paraId="168D2E55" w14:textId="06A769A8" w:rsidR="00382615" w:rsidRDefault="00382615" w:rsidP="00C957E2">
      <w:pPr>
        <w:suppressAutoHyphens/>
        <w:spacing w:line="360" w:lineRule="auto"/>
        <w:rPr>
          <w:b/>
          <w:bCs/>
        </w:rPr>
      </w:pPr>
    </w:p>
    <w:p w14:paraId="5102F58F" w14:textId="77777777" w:rsidR="00864283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>Передозировка</w:t>
      </w:r>
    </w:p>
    <w:p w14:paraId="799340D8" w14:textId="77777777" w:rsidR="00C62C5E" w:rsidRDefault="006919A6" w:rsidP="00C957E2">
      <w:pPr>
        <w:suppressAutoHyphens/>
        <w:spacing w:line="360" w:lineRule="auto"/>
        <w:rPr>
          <w:b/>
          <w:bCs/>
        </w:rPr>
      </w:pPr>
      <w:r w:rsidRPr="007A66BD">
        <w:rPr>
          <w:color w:val="000000"/>
        </w:rPr>
        <w:t xml:space="preserve">Максимальная переносимая доза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7A66BD">
        <w:rPr>
          <w:color w:val="000000"/>
        </w:rPr>
        <w:t xml:space="preserve"> не </w:t>
      </w:r>
      <w:r w:rsidR="00F254A6">
        <w:rPr>
          <w:color w:val="000000"/>
        </w:rPr>
        <w:t>установлена</w:t>
      </w:r>
      <w:r w:rsidR="00807444">
        <w:rPr>
          <w:color w:val="000000"/>
        </w:rPr>
        <w:t>.</w:t>
      </w:r>
      <w:r w:rsidRPr="007A66BD">
        <w:rPr>
          <w:rFonts w:eastAsia="Batang"/>
          <w:color w:val="000000"/>
        </w:rPr>
        <w:t xml:space="preserve"> </w:t>
      </w:r>
      <w:r w:rsidR="00F254A6">
        <w:rPr>
          <w:rFonts w:eastAsia="Batang"/>
          <w:color w:val="000000"/>
        </w:rPr>
        <w:t>О</w:t>
      </w:r>
      <w:r w:rsidRPr="007A66BD">
        <w:rPr>
          <w:rFonts w:eastAsia="Batang"/>
          <w:color w:val="000000"/>
        </w:rPr>
        <w:t xml:space="preserve">днократные дозы, превышающие 25 мг/кг (1727 мг), не </w:t>
      </w:r>
      <w:r w:rsidR="00347BB4" w:rsidRPr="007A66BD">
        <w:rPr>
          <w:rFonts w:eastAsia="Batang"/>
          <w:color w:val="000000"/>
        </w:rPr>
        <w:t>изучались</w:t>
      </w:r>
      <w:r w:rsidRPr="007A66BD">
        <w:rPr>
          <w:rFonts w:eastAsia="Batang"/>
          <w:color w:val="000000"/>
        </w:rPr>
        <w:t>.</w:t>
      </w:r>
      <w:r w:rsidR="00C62C5E">
        <w:rPr>
          <w:b/>
          <w:bCs/>
        </w:rPr>
        <w:t xml:space="preserve"> </w:t>
      </w:r>
    </w:p>
    <w:p w14:paraId="212B8CC4" w14:textId="77777777" w:rsidR="006919A6" w:rsidRPr="00C62C5E" w:rsidRDefault="006919A6" w:rsidP="00C957E2">
      <w:pPr>
        <w:suppressAutoHyphens/>
        <w:spacing w:line="360" w:lineRule="auto"/>
        <w:rPr>
          <w:b/>
          <w:bCs/>
        </w:rPr>
      </w:pPr>
      <w:r w:rsidRPr="007A66BD">
        <w:rPr>
          <w:rFonts w:eastAsia="Batang"/>
          <w:color w:val="000000"/>
        </w:rPr>
        <w:t xml:space="preserve">В случае передозировки необходимо внимательно наблюдать за </w:t>
      </w:r>
      <w:r w:rsidR="00F2539B" w:rsidRPr="007A66BD">
        <w:rPr>
          <w:rFonts w:eastAsia="Batang"/>
          <w:color w:val="000000"/>
        </w:rPr>
        <w:t>пациентами</w:t>
      </w:r>
      <w:r w:rsidRPr="007A66BD">
        <w:rPr>
          <w:rFonts w:eastAsia="Batang"/>
          <w:color w:val="000000"/>
        </w:rPr>
        <w:t xml:space="preserve"> с целью обнаружения признаков или симптомов нежелательных реакций и назначения соответствующего симптоматического лечения.</w:t>
      </w:r>
    </w:p>
    <w:p w14:paraId="1EC3FD11" w14:textId="77777777" w:rsidR="006919A6" w:rsidRPr="007A66BD" w:rsidRDefault="006919A6" w:rsidP="00C957E2">
      <w:pPr>
        <w:suppressAutoHyphens/>
        <w:spacing w:line="360" w:lineRule="auto"/>
        <w:rPr>
          <w:b/>
          <w:bCs/>
        </w:rPr>
      </w:pPr>
    </w:p>
    <w:p w14:paraId="5FD0420D" w14:textId="77777777" w:rsidR="008829D0" w:rsidRPr="007A66BD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 xml:space="preserve">Взаимодействие с другими лекарственными средствами </w:t>
      </w:r>
    </w:p>
    <w:p w14:paraId="5382D47F" w14:textId="7A3D6AD4" w:rsidR="00F43FA0" w:rsidRPr="00C75C46" w:rsidRDefault="009D7CE5" w:rsidP="00C957E2">
      <w:pPr>
        <w:spacing w:line="360" w:lineRule="auto"/>
      </w:pPr>
      <w:r w:rsidRPr="00424BC6">
        <w:rPr>
          <w:rFonts w:eastAsia="Batang"/>
        </w:rPr>
        <w:lastRenderedPageBreak/>
        <w:t xml:space="preserve">Признаков фармакокинетического взаимодействия между </w:t>
      </w:r>
      <w:proofErr w:type="spellStart"/>
      <w:r w:rsidR="00AE37AC">
        <w:t>пертузумабом</w:t>
      </w:r>
      <w:proofErr w:type="spellEnd"/>
      <w:r w:rsidR="00382636" w:rsidRPr="00424BC6">
        <w:rPr>
          <w:rFonts w:eastAsia="Batang"/>
        </w:rPr>
        <w:t xml:space="preserve"> </w:t>
      </w:r>
      <w:r w:rsidRPr="00424BC6">
        <w:rPr>
          <w:rFonts w:eastAsia="Batang"/>
        </w:rPr>
        <w:t xml:space="preserve">и </w:t>
      </w:r>
      <w:proofErr w:type="spellStart"/>
      <w:r w:rsidR="00B67D09">
        <w:rPr>
          <w:rFonts w:eastAsia="Batang"/>
        </w:rPr>
        <w:t>т</w:t>
      </w:r>
      <w:r w:rsidR="00E856AD">
        <w:rPr>
          <w:rFonts w:eastAsia="Batang"/>
        </w:rPr>
        <w:t>растузумаб</w:t>
      </w:r>
      <w:r w:rsidR="00B67D09">
        <w:rPr>
          <w:rFonts w:eastAsia="Batang"/>
        </w:rPr>
        <w:t>ом</w:t>
      </w:r>
      <w:proofErr w:type="spellEnd"/>
      <w:r w:rsidRPr="00424BC6">
        <w:rPr>
          <w:rFonts w:eastAsia="Batang"/>
        </w:rPr>
        <w:t xml:space="preserve">, </w:t>
      </w:r>
      <w:proofErr w:type="spellStart"/>
      <w:r w:rsidRPr="00424BC6">
        <w:rPr>
          <w:rFonts w:eastAsia="Batang"/>
        </w:rPr>
        <w:t>доцетакселом</w:t>
      </w:r>
      <w:proofErr w:type="spellEnd"/>
      <w:r w:rsidRPr="00424BC6">
        <w:rPr>
          <w:rFonts w:eastAsia="Batang"/>
        </w:rPr>
        <w:t>,</w:t>
      </w:r>
      <w:r w:rsidR="00231B51">
        <w:rPr>
          <w:rFonts w:eastAsia="Batang"/>
        </w:rPr>
        <w:t xml:space="preserve"> </w:t>
      </w:r>
      <w:proofErr w:type="spellStart"/>
      <w:r w:rsidR="00231B51">
        <w:rPr>
          <w:rFonts w:eastAsia="Batang"/>
        </w:rPr>
        <w:t>паклитакселом</w:t>
      </w:r>
      <w:proofErr w:type="spellEnd"/>
      <w:r w:rsidR="00231B51">
        <w:rPr>
          <w:rFonts w:eastAsia="Batang"/>
        </w:rPr>
        <w:t>,</w:t>
      </w:r>
      <w:r w:rsidRPr="00424BC6">
        <w:rPr>
          <w:rFonts w:eastAsia="Batang"/>
        </w:rPr>
        <w:t xml:space="preserve"> </w:t>
      </w:r>
      <w:proofErr w:type="spellStart"/>
      <w:r w:rsidRPr="00424BC6">
        <w:rPr>
          <w:rFonts w:eastAsia="Batang"/>
        </w:rPr>
        <w:t>гемцитабином</w:t>
      </w:r>
      <w:proofErr w:type="spellEnd"/>
      <w:r w:rsidRPr="00424BC6">
        <w:rPr>
          <w:rFonts w:eastAsia="Batang"/>
        </w:rPr>
        <w:t xml:space="preserve">, </w:t>
      </w:r>
      <w:proofErr w:type="spellStart"/>
      <w:r w:rsidRPr="00424BC6">
        <w:rPr>
          <w:rFonts w:eastAsia="Batang"/>
        </w:rPr>
        <w:t>капецитабином</w:t>
      </w:r>
      <w:proofErr w:type="spellEnd"/>
      <w:r w:rsidR="002753C1">
        <w:rPr>
          <w:rFonts w:eastAsia="Batang"/>
        </w:rPr>
        <w:t xml:space="preserve">, </w:t>
      </w:r>
      <w:proofErr w:type="spellStart"/>
      <w:r w:rsidR="002753C1">
        <w:rPr>
          <w:rFonts w:eastAsia="Batang"/>
        </w:rPr>
        <w:t>карбоплатином</w:t>
      </w:r>
      <w:proofErr w:type="spellEnd"/>
      <w:r w:rsidR="002753C1">
        <w:rPr>
          <w:rFonts w:eastAsia="Batang"/>
        </w:rPr>
        <w:t xml:space="preserve"> и</w:t>
      </w:r>
      <w:r w:rsidRPr="00424BC6">
        <w:rPr>
          <w:rFonts w:eastAsia="Batang"/>
        </w:rPr>
        <w:t xml:space="preserve"> </w:t>
      </w:r>
      <w:proofErr w:type="spellStart"/>
      <w:r w:rsidR="008E6DAE">
        <w:rPr>
          <w:rFonts w:eastAsia="Batang"/>
        </w:rPr>
        <w:t>эрлотинибом</w:t>
      </w:r>
      <w:proofErr w:type="spellEnd"/>
      <w:r w:rsidR="002753C1" w:rsidRPr="00424BC6">
        <w:rPr>
          <w:rFonts w:eastAsia="Batang"/>
        </w:rPr>
        <w:t xml:space="preserve"> </w:t>
      </w:r>
      <w:r w:rsidRPr="00424BC6">
        <w:rPr>
          <w:rFonts w:eastAsia="Batang"/>
        </w:rPr>
        <w:t xml:space="preserve">не </w:t>
      </w:r>
      <w:r w:rsidR="00C75C46">
        <w:rPr>
          <w:rFonts w:eastAsia="Batang"/>
        </w:rPr>
        <w:t>выявлено</w:t>
      </w:r>
      <w:r w:rsidRPr="00424BC6">
        <w:rPr>
          <w:rFonts w:eastAsia="Batang"/>
        </w:rPr>
        <w:t>.</w:t>
      </w:r>
      <w:r w:rsidR="00C75C46">
        <w:rPr>
          <w:rFonts w:eastAsia="Batang"/>
        </w:rPr>
        <w:t xml:space="preserve"> </w:t>
      </w:r>
    </w:p>
    <w:p w14:paraId="576C24FD" w14:textId="39650352" w:rsidR="008829D0" w:rsidRPr="007A66BD" w:rsidRDefault="008829D0" w:rsidP="00C957E2">
      <w:pPr>
        <w:suppressAutoHyphens/>
        <w:spacing w:line="360" w:lineRule="auto"/>
      </w:pPr>
    </w:p>
    <w:p w14:paraId="6AD3E8E8" w14:textId="77777777" w:rsidR="006B08DB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 xml:space="preserve">Особые указания </w:t>
      </w:r>
    </w:p>
    <w:p w14:paraId="5E9AF4CE" w14:textId="77777777" w:rsidR="006E231F" w:rsidRPr="00625EBA" w:rsidRDefault="006E231F" w:rsidP="00625EBA">
      <w:pPr>
        <w:suppressAutoHyphens/>
        <w:spacing w:line="360" w:lineRule="auto"/>
        <w:rPr>
          <w:b/>
          <w:bCs/>
        </w:rPr>
      </w:pPr>
      <w:r>
        <w:rPr>
          <w:iCs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>
        <w:rPr>
          <w:iCs/>
        </w:rPr>
        <w:t xml:space="preserve"> должен применяться только при наличии опухолевой </w:t>
      </w:r>
      <w:proofErr w:type="spellStart"/>
      <w:r>
        <w:rPr>
          <w:iCs/>
        </w:rPr>
        <w:t>гиперэкспрессии</w:t>
      </w:r>
      <w:proofErr w:type="spellEnd"/>
      <w:r>
        <w:rPr>
          <w:iCs/>
        </w:rPr>
        <w:t xml:space="preserve"> HER2, определенно</w:t>
      </w:r>
      <w:r w:rsidR="00473E70">
        <w:rPr>
          <w:iCs/>
        </w:rPr>
        <w:t xml:space="preserve">й методом </w:t>
      </w:r>
      <w:proofErr w:type="spellStart"/>
      <w:r w:rsidR="00473E70">
        <w:rPr>
          <w:iCs/>
        </w:rPr>
        <w:t>иммуно</w:t>
      </w:r>
      <w:proofErr w:type="spellEnd"/>
      <w:r w:rsidR="00473E70">
        <w:rPr>
          <w:iCs/>
        </w:rPr>
        <w:t>-гистохимического анализа</w:t>
      </w:r>
      <w:r>
        <w:rPr>
          <w:iCs/>
        </w:rPr>
        <w:t xml:space="preserve"> (ИГХ), или амплификации гена HER2, определенной методом гибридизации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situ</w:t>
      </w:r>
      <w:proofErr w:type="spellEnd"/>
      <w:r>
        <w:rPr>
          <w:iCs/>
        </w:rPr>
        <w:t xml:space="preserve"> (FISH или </w:t>
      </w:r>
      <w:r w:rsidR="006B08DB">
        <w:rPr>
          <w:iCs/>
          <w:lang w:val="en-US"/>
        </w:rPr>
        <w:t>C</w:t>
      </w:r>
      <w:r>
        <w:rPr>
          <w:iCs/>
        </w:rPr>
        <w:t>ISH).</w:t>
      </w:r>
      <w:r w:rsidRPr="00DD31F9">
        <w:rPr>
          <w:iCs/>
        </w:rPr>
        <w:t xml:space="preserve"> </w:t>
      </w:r>
      <w:r>
        <w:rPr>
          <w:iCs/>
        </w:rPr>
        <w:t xml:space="preserve">HER2 тестирование должно быть проведено в специализированной лаборатории, которая может обеспечить </w:t>
      </w:r>
      <w:r>
        <w:rPr>
          <w:iCs/>
          <w:color w:val="000000"/>
        </w:rPr>
        <w:t xml:space="preserve">контроль качества </w:t>
      </w:r>
      <w:r>
        <w:rPr>
          <w:iCs/>
        </w:rPr>
        <w:t>процедуры тестирования.</w:t>
      </w:r>
    </w:p>
    <w:p w14:paraId="79AE6BA8" w14:textId="77777777" w:rsidR="00776AB5" w:rsidRDefault="00776AB5" w:rsidP="00776AB5">
      <w:pPr>
        <w:suppressAutoHyphens/>
        <w:spacing w:line="360" w:lineRule="auto"/>
        <w:rPr>
          <w:iCs/>
        </w:rPr>
      </w:pPr>
      <w:r w:rsidRPr="00B132C2">
        <w:t>В медицинской документации больного следует указывать торговое наименование препарата (</w:t>
      </w:r>
      <w:proofErr w:type="spellStart"/>
      <w:r>
        <w:t>Перьета</w:t>
      </w:r>
      <w:proofErr w:type="spellEnd"/>
      <w:r w:rsidRPr="00DD31F9">
        <w:rPr>
          <w:vertAlign w:val="superscript"/>
        </w:rPr>
        <w:t>®</w:t>
      </w:r>
      <w:r w:rsidRPr="00B132C2">
        <w:t>)</w:t>
      </w:r>
      <w:r w:rsidR="00AB1E8F">
        <w:t xml:space="preserve"> и номер серии</w:t>
      </w:r>
      <w:r w:rsidRPr="00B132C2">
        <w:t>.</w:t>
      </w:r>
    </w:p>
    <w:p w14:paraId="336510A8" w14:textId="77777777" w:rsidR="006E231F" w:rsidRDefault="00B132C2" w:rsidP="00C957E2">
      <w:pPr>
        <w:spacing w:line="360" w:lineRule="auto"/>
      </w:pPr>
      <w:r w:rsidRPr="00B132C2">
        <w:t xml:space="preserve">Информация, представленная в данной инструкции, относится только к препарату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B132C2">
        <w:t>.</w:t>
      </w:r>
    </w:p>
    <w:p w14:paraId="4629DF5D" w14:textId="54736307" w:rsidR="006D4709" w:rsidRPr="009C25C2" w:rsidRDefault="006D4709" w:rsidP="006D4709">
      <w:pPr>
        <w:pStyle w:val="Style3"/>
        <w:rPr>
          <w:iCs/>
        </w:rPr>
      </w:pPr>
      <w:r w:rsidRPr="009C25C2">
        <w:t xml:space="preserve">Терапия препаратом </w:t>
      </w:r>
      <w:proofErr w:type="spellStart"/>
      <w:r w:rsidRPr="009C25C2">
        <w:t>Перьета</w:t>
      </w:r>
      <w:proofErr w:type="spellEnd"/>
      <w:r w:rsidRPr="009C25C2">
        <w:rPr>
          <w:vertAlign w:val="superscript"/>
        </w:rPr>
        <w:t>®</w:t>
      </w:r>
      <w:r w:rsidRPr="009C25C2">
        <w:t xml:space="preserve"> должна назначаться </w:t>
      </w:r>
      <w:r w:rsidR="00C458EB" w:rsidRPr="009C25C2">
        <w:t xml:space="preserve">только </w:t>
      </w:r>
      <w:r w:rsidRPr="009C25C2">
        <w:t xml:space="preserve">врачом, имеющим опыт лечения онкологических заболеваний. </w:t>
      </w:r>
      <w:r w:rsidR="00B5670C" w:rsidRPr="009C25C2">
        <w:rPr>
          <w:iCs/>
        </w:rPr>
        <w:t xml:space="preserve">Введение препарата </w:t>
      </w:r>
      <w:r w:rsidR="00B5670C" w:rsidRPr="009C25C2">
        <w:t xml:space="preserve">проводится </w:t>
      </w:r>
      <w:r w:rsidR="00B5670C" w:rsidRPr="009C25C2">
        <w:rPr>
          <w:iCs/>
        </w:rPr>
        <w:t>при наличии доступа к набору для оказания экстренной помощи.</w:t>
      </w:r>
      <w:r w:rsidR="007A0233" w:rsidRPr="009C25C2">
        <w:rPr>
          <w:rFonts w:ascii="Arial" w:hAnsi="Arial" w:cs="Arial"/>
          <w:i/>
          <w:iCs/>
          <w:color w:val="FF0000"/>
          <w:sz w:val="19"/>
          <w:szCs w:val="19"/>
          <w:shd w:val="clear" w:color="auto" w:fill="FFFFFF"/>
          <w:lang w:eastAsia="zh-CN"/>
        </w:rPr>
        <w:t xml:space="preserve"> </w:t>
      </w:r>
      <w:r w:rsidR="007A0233" w:rsidRPr="009C25C2">
        <w:rPr>
          <w:iCs/>
        </w:rPr>
        <w:t>Врач, имеющий опыт применения химиотерапевтических препаратов, должен быть доступен в процессе проводимой терапии.</w:t>
      </w:r>
    </w:p>
    <w:p w14:paraId="01379B47" w14:textId="5EADE0EE" w:rsidR="003E43A7" w:rsidRPr="00DD31F9" w:rsidRDefault="004D6A08" w:rsidP="00C957E2">
      <w:pPr>
        <w:suppressLineNumbers/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Нарушение функции </w:t>
      </w:r>
      <w:r w:rsidR="003E43A7" w:rsidRPr="00DD31F9">
        <w:rPr>
          <w:i/>
          <w:color w:val="000000"/>
        </w:rPr>
        <w:t xml:space="preserve">левого желудочка </w:t>
      </w:r>
    </w:p>
    <w:p w14:paraId="4D4CA884" w14:textId="40D8C143" w:rsidR="00BB41DA" w:rsidRDefault="00BB41DA" w:rsidP="00C957E2">
      <w:pPr>
        <w:suppressLineNumbers/>
        <w:spacing w:line="360" w:lineRule="auto"/>
        <w:rPr>
          <w:rFonts w:eastAsia="Batang"/>
          <w:color w:val="000000"/>
        </w:rPr>
      </w:pPr>
      <w:r w:rsidRPr="007A66BD">
        <w:rPr>
          <w:color w:val="000000"/>
        </w:rPr>
        <w:t xml:space="preserve">На фоне применения препаратов, блокирующих активность HER2, включая </w:t>
      </w:r>
      <w:r w:rsidR="00764E8B">
        <w:rPr>
          <w:color w:val="000000"/>
        </w:rPr>
        <w:t xml:space="preserve">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7A66BD">
        <w:rPr>
          <w:color w:val="000000"/>
        </w:rPr>
        <w:t xml:space="preserve">, наблюдалось </w:t>
      </w:r>
      <w:r w:rsidRPr="00DC6F63">
        <w:rPr>
          <w:b/>
          <w:i/>
          <w:color w:val="000000"/>
        </w:rPr>
        <w:t xml:space="preserve">снижение </w:t>
      </w:r>
      <w:r w:rsidR="00F254A6" w:rsidRPr="00DC6F63">
        <w:rPr>
          <w:b/>
          <w:i/>
          <w:color w:val="000000"/>
        </w:rPr>
        <w:t>ФВЛЖ</w:t>
      </w:r>
      <w:r w:rsidRPr="007A66BD">
        <w:rPr>
          <w:color w:val="000000"/>
        </w:rPr>
        <w:t>.</w:t>
      </w:r>
      <w:r w:rsidRPr="007A66BD">
        <w:rPr>
          <w:noProof/>
          <w:color w:val="000000"/>
        </w:rPr>
        <w:t xml:space="preserve"> </w:t>
      </w:r>
      <w:r w:rsidR="00D604D3">
        <w:rPr>
          <w:color w:val="000000"/>
        </w:rPr>
        <w:t>Ч</w:t>
      </w:r>
      <w:r w:rsidR="00D604D3" w:rsidRPr="007A66BD">
        <w:rPr>
          <w:color w:val="000000"/>
        </w:rPr>
        <w:t>астот</w:t>
      </w:r>
      <w:r w:rsidR="00D604D3">
        <w:rPr>
          <w:color w:val="000000"/>
        </w:rPr>
        <w:t>а</w:t>
      </w:r>
      <w:r w:rsidR="00D604D3" w:rsidRPr="007A66BD">
        <w:rPr>
          <w:color w:val="000000"/>
        </w:rPr>
        <w:t xml:space="preserve"> </w:t>
      </w:r>
      <w:r w:rsidRPr="007A66BD">
        <w:rPr>
          <w:color w:val="000000"/>
        </w:rPr>
        <w:t>симптом</w:t>
      </w:r>
      <w:r w:rsidR="00200155">
        <w:rPr>
          <w:color w:val="000000"/>
        </w:rPr>
        <w:t>атическо</w:t>
      </w:r>
      <w:r w:rsidR="0006763C">
        <w:rPr>
          <w:color w:val="000000"/>
        </w:rPr>
        <w:t>й</w:t>
      </w:r>
      <w:r w:rsidRPr="007A66BD">
        <w:rPr>
          <w:color w:val="000000"/>
        </w:rPr>
        <w:t xml:space="preserve"> систолической </w:t>
      </w:r>
      <w:r w:rsidR="0006763C">
        <w:rPr>
          <w:color w:val="000000"/>
        </w:rPr>
        <w:t>дис</w:t>
      </w:r>
      <w:r w:rsidRPr="007A66BD">
        <w:rPr>
          <w:color w:val="000000"/>
        </w:rPr>
        <w:t xml:space="preserve">функции левого желудочка </w:t>
      </w:r>
      <w:r w:rsidR="00E043BC">
        <w:rPr>
          <w:color w:val="000000"/>
        </w:rPr>
        <w:t>(</w:t>
      </w:r>
      <w:r w:rsidR="000D37D8">
        <w:rPr>
          <w:color w:val="000000"/>
        </w:rPr>
        <w:t xml:space="preserve">застойная </w:t>
      </w:r>
      <w:r w:rsidR="00E043BC">
        <w:rPr>
          <w:color w:val="000000"/>
        </w:rPr>
        <w:t>сердечная недостаточность)</w:t>
      </w:r>
      <w:r w:rsidR="00640861" w:rsidRPr="009F24D8">
        <w:rPr>
          <w:color w:val="000000"/>
        </w:rPr>
        <w:t xml:space="preserve"> </w:t>
      </w:r>
      <w:r w:rsidR="00C622FF">
        <w:rPr>
          <w:color w:val="000000"/>
        </w:rPr>
        <w:t xml:space="preserve">была выше </w:t>
      </w:r>
      <w:r w:rsidR="0049319A">
        <w:rPr>
          <w:color w:val="000000"/>
        </w:rPr>
        <w:t>при применении</w:t>
      </w:r>
      <w:r w:rsidR="00640861">
        <w:rPr>
          <w:color w:val="000000"/>
        </w:rPr>
        <w:t xml:space="preserve"> препарат</w:t>
      </w:r>
      <w:r w:rsidR="0049319A">
        <w:rPr>
          <w:color w:val="000000"/>
        </w:rPr>
        <w:t>а</w:t>
      </w:r>
      <w:r w:rsidR="00640861">
        <w:rPr>
          <w:color w:val="000000"/>
        </w:rPr>
        <w:t xml:space="preserve"> </w:t>
      </w:r>
      <w:proofErr w:type="spellStart"/>
      <w:r w:rsidR="00640861">
        <w:rPr>
          <w:color w:val="000000"/>
        </w:rPr>
        <w:t>Перьета</w:t>
      </w:r>
      <w:proofErr w:type="spellEnd"/>
      <w:r w:rsidR="00640861" w:rsidRPr="006E2758">
        <w:rPr>
          <w:vertAlign w:val="superscript"/>
        </w:rPr>
        <w:t>®</w:t>
      </w:r>
      <w:r w:rsidR="00640861" w:rsidRPr="002671D7">
        <w:t xml:space="preserve"> </w:t>
      </w:r>
      <w:r w:rsidR="00640861">
        <w:t xml:space="preserve">в комбинации с </w:t>
      </w:r>
      <w:proofErr w:type="spellStart"/>
      <w:r w:rsidR="00640861">
        <w:t>трастузумабом</w:t>
      </w:r>
      <w:proofErr w:type="spellEnd"/>
      <w:r w:rsidR="00640861">
        <w:t xml:space="preserve"> и химиотерапией</w:t>
      </w:r>
      <w:r w:rsidRPr="007A66BD">
        <w:rPr>
          <w:color w:val="000000"/>
        </w:rPr>
        <w:t xml:space="preserve"> </w:t>
      </w:r>
      <w:r w:rsidR="00F254A6">
        <w:rPr>
          <w:color w:val="000000"/>
        </w:rPr>
        <w:t xml:space="preserve">по сравнению </w:t>
      </w:r>
      <w:r w:rsidR="00796823">
        <w:rPr>
          <w:color w:val="000000"/>
          <w:lang w:val="en-US"/>
        </w:rPr>
        <w:t>c</w:t>
      </w:r>
      <w:r w:rsidR="00796823" w:rsidRPr="00250B2E">
        <w:rPr>
          <w:color w:val="000000"/>
        </w:rPr>
        <w:t xml:space="preserve"> </w:t>
      </w:r>
      <w:r w:rsidR="00796823">
        <w:rPr>
          <w:color w:val="000000"/>
        </w:rPr>
        <w:t xml:space="preserve">применением только </w:t>
      </w:r>
      <w:r w:rsidR="00B67D09">
        <w:rPr>
          <w:color w:val="000000"/>
        </w:rPr>
        <w:t>т</w:t>
      </w:r>
      <w:r w:rsidR="00E856AD">
        <w:rPr>
          <w:color w:val="000000"/>
        </w:rPr>
        <w:t>растузумаб</w:t>
      </w:r>
      <w:r w:rsidR="00B67D09">
        <w:rPr>
          <w:color w:val="000000"/>
        </w:rPr>
        <w:t>а</w:t>
      </w:r>
      <w:r w:rsidRPr="007A66BD">
        <w:rPr>
          <w:color w:val="000000"/>
        </w:rPr>
        <w:t xml:space="preserve"> и </w:t>
      </w:r>
      <w:r w:rsidR="00640861">
        <w:rPr>
          <w:color w:val="000000"/>
        </w:rPr>
        <w:t>химиотерапии</w:t>
      </w:r>
      <w:r w:rsidRPr="007A66BD">
        <w:rPr>
          <w:color w:val="000000"/>
        </w:rPr>
        <w:t>.</w:t>
      </w:r>
      <w:r w:rsidRPr="007A66BD">
        <w:rPr>
          <w:noProof/>
          <w:color w:val="000000"/>
        </w:rPr>
        <w:t xml:space="preserve"> </w:t>
      </w:r>
      <w:r w:rsidR="001941A8">
        <w:rPr>
          <w:rFonts w:eastAsia="Batang"/>
          <w:color w:val="000000"/>
        </w:rPr>
        <w:t>У</w:t>
      </w:r>
      <w:r w:rsidR="009D7CE5" w:rsidRPr="00250B2E">
        <w:rPr>
          <w:rFonts w:eastAsia="Batang"/>
          <w:color w:val="000000"/>
        </w:rPr>
        <w:t xml:space="preserve"> пациентов, ранее получавших </w:t>
      </w:r>
      <w:proofErr w:type="spellStart"/>
      <w:r w:rsidR="009D7CE5" w:rsidRPr="00250B2E">
        <w:rPr>
          <w:rFonts w:eastAsia="Batang"/>
          <w:color w:val="000000"/>
        </w:rPr>
        <w:t>антрациклины</w:t>
      </w:r>
      <w:proofErr w:type="spellEnd"/>
      <w:r w:rsidR="009D7CE5" w:rsidRPr="00250B2E">
        <w:rPr>
          <w:rFonts w:eastAsia="Batang"/>
          <w:color w:val="000000"/>
        </w:rPr>
        <w:t xml:space="preserve"> или лучевую терапию на область грудной клетки, риск снижения ФВЛЖ может быть выше</w:t>
      </w:r>
      <w:r w:rsidRPr="007D5729">
        <w:rPr>
          <w:rFonts w:eastAsia="Batang"/>
          <w:color w:val="000000"/>
        </w:rPr>
        <w:t>.</w:t>
      </w:r>
      <w:r w:rsidR="00E74158">
        <w:rPr>
          <w:rFonts w:eastAsia="Batang"/>
          <w:color w:val="000000"/>
        </w:rPr>
        <w:t xml:space="preserve"> </w:t>
      </w:r>
      <w:r w:rsidR="00D660BE">
        <w:rPr>
          <w:rFonts w:eastAsia="Batang"/>
          <w:color w:val="000000"/>
        </w:rPr>
        <w:t xml:space="preserve">В ходе </w:t>
      </w:r>
      <w:proofErr w:type="spellStart"/>
      <w:r w:rsidR="00D660BE">
        <w:rPr>
          <w:rFonts w:eastAsia="Batang"/>
          <w:color w:val="000000"/>
        </w:rPr>
        <w:t>адъювантной</w:t>
      </w:r>
      <w:proofErr w:type="spellEnd"/>
      <w:r w:rsidR="00D660BE">
        <w:rPr>
          <w:rFonts w:eastAsia="Batang"/>
          <w:color w:val="000000"/>
        </w:rPr>
        <w:t xml:space="preserve"> терапии б</w:t>
      </w:r>
      <w:r w:rsidR="00E74158">
        <w:rPr>
          <w:rFonts w:eastAsia="Batang"/>
          <w:color w:val="000000"/>
        </w:rPr>
        <w:t>ольшинство случаев симптоматической сердечной недостаточности отмечались у пациентов, получа</w:t>
      </w:r>
      <w:r w:rsidR="00CB7325">
        <w:rPr>
          <w:rFonts w:eastAsia="Batang"/>
          <w:color w:val="000000"/>
        </w:rPr>
        <w:t>вш</w:t>
      </w:r>
      <w:r w:rsidR="00E74158">
        <w:rPr>
          <w:rFonts w:eastAsia="Batang"/>
          <w:color w:val="000000"/>
        </w:rPr>
        <w:t>их химиотерапию</w:t>
      </w:r>
      <w:r w:rsidR="00372891">
        <w:rPr>
          <w:rFonts w:eastAsia="Batang"/>
          <w:color w:val="000000"/>
        </w:rPr>
        <w:t xml:space="preserve"> на основе </w:t>
      </w:r>
      <w:proofErr w:type="spellStart"/>
      <w:r w:rsidR="00372891">
        <w:rPr>
          <w:rFonts w:eastAsia="Batang"/>
          <w:color w:val="000000"/>
        </w:rPr>
        <w:t>антрациклинов</w:t>
      </w:r>
      <w:proofErr w:type="spellEnd"/>
      <w:r w:rsidR="00E74158">
        <w:rPr>
          <w:rFonts w:eastAsia="Batang"/>
          <w:color w:val="000000"/>
        </w:rPr>
        <w:t>.</w:t>
      </w:r>
    </w:p>
    <w:p w14:paraId="707F7E3B" w14:textId="0A811CB5" w:rsidR="00A504B2" w:rsidRPr="00DD31F9" w:rsidRDefault="001C7CB7" w:rsidP="00C957E2">
      <w:pPr>
        <w:spacing w:line="360" w:lineRule="auto"/>
        <w:rPr>
          <w:color w:val="000000"/>
        </w:rPr>
      </w:pPr>
      <w:r>
        <w:rPr>
          <w:rFonts w:eastAsia="Batang"/>
          <w:noProof/>
          <w:color w:val="000000"/>
        </w:rPr>
        <w:t xml:space="preserve">Эффективность и безопасность применения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C37441">
        <w:rPr>
          <w:rFonts w:eastAsia="Batang"/>
          <w:noProof/>
          <w:color w:val="000000"/>
        </w:rPr>
        <w:t xml:space="preserve"> </w:t>
      </w:r>
      <w:r>
        <w:rPr>
          <w:rFonts w:eastAsia="Batang"/>
          <w:noProof/>
          <w:color w:val="000000"/>
        </w:rPr>
        <w:t xml:space="preserve">не исследовались </w:t>
      </w:r>
      <w:r w:rsidRPr="00C37441">
        <w:rPr>
          <w:rFonts w:eastAsia="Batang"/>
          <w:noProof/>
          <w:color w:val="000000"/>
        </w:rPr>
        <w:t>у пациентов с</w:t>
      </w:r>
      <w:r w:rsidR="00293D54" w:rsidRPr="00DD31F9">
        <w:rPr>
          <w:rFonts w:eastAsia="Batang"/>
          <w:noProof/>
          <w:color w:val="000000"/>
        </w:rPr>
        <w:t xml:space="preserve"> </w:t>
      </w:r>
      <w:r w:rsidR="00293D54">
        <w:rPr>
          <w:rFonts w:eastAsia="Batang"/>
          <w:noProof/>
          <w:color w:val="000000"/>
        </w:rPr>
        <w:t>исходным значением</w:t>
      </w:r>
      <w:r w:rsidRPr="00C37441">
        <w:rPr>
          <w:rFonts w:eastAsia="Batang"/>
          <w:noProof/>
          <w:color w:val="000000"/>
        </w:rPr>
        <w:t xml:space="preserve"> ФВЛЖ </w:t>
      </w:r>
      <w:r w:rsidR="00EA40AE" w:rsidRPr="00DD31F9">
        <w:rPr>
          <w:rFonts w:eastAsia="Batang"/>
          <w:noProof/>
          <w:color w:val="000000"/>
        </w:rPr>
        <w:t>&lt;</w:t>
      </w:r>
      <w:r w:rsidRPr="00C37441">
        <w:rPr>
          <w:rFonts w:eastAsia="Batang"/>
          <w:noProof/>
          <w:color w:val="000000"/>
        </w:rPr>
        <w:t xml:space="preserve">50%; </w:t>
      </w:r>
      <w:r w:rsidR="000D37D8">
        <w:rPr>
          <w:rFonts w:eastAsia="Batang"/>
          <w:noProof/>
          <w:color w:val="000000"/>
        </w:rPr>
        <w:t xml:space="preserve">застойной </w:t>
      </w:r>
      <w:r w:rsidR="00E36695">
        <w:rPr>
          <w:rFonts w:eastAsia="Batang"/>
          <w:noProof/>
          <w:color w:val="000000"/>
        </w:rPr>
        <w:t xml:space="preserve">сердечной </w:t>
      </w:r>
      <w:r w:rsidRPr="00C37441">
        <w:rPr>
          <w:rFonts w:eastAsia="Batang"/>
          <w:noProof/>
          <w:color w:val="000000"/>
        </w:rPr>
        <w:t xml:space="preserve">недостаточностью в анамнезе; при ранее наблюдавшемся снижении ФВЛЖ до значений </w:t>
      </w:r>
      <w:r>
        <w:rPr>
          <w:rFonts w:eastAsia="Batang"/>
          <w:noProof/>
        </w:rPr>
        <w:sym w:font="Symbol" w:char="F03C"/>
      </w:r>
      <w:r w:rsidRPr="00C37441">
        <w:rPr>
          <w:rFonts w:eastAsia="Batang"/>
          <w:noProof/>
          <w:color w:val="000000"/>
        </w:rPr>
        <w:t xml:space="preserve">50% в ходе адъювантной терапии </w:t>
      </w:r>
      <w:r w:rsidR="003A4990">
        <w:rPr>
          <w:rFonts w:eastAsia="Batang"/>
          <w:noProof/>
          <w:color w:val="000000"/>
        </w:rPr>
        <w:t>трастузумабом</w:t>
      </w:r>
      <w:r w:rsidRPr="00C37441">
        <w:rPr>
          <w:rFonts w:eastAsia="Batang"/>
          <w:noProof/>
          <w:color w:val="000000"/>
        </w:rPr>
        <w:t>;</w:t>
      </w:r>
      <w:r>
        <w:rPr>
          <w:rFonts w:eastAsia="Batang"/>
          <w:noProof/>
          <w:color w:val="000000"/>
        </w:rPr>
        <w:t xml:space="preserve"> </w:t>
      </w:r>
      <w:r w:rsidRPr="00C37441">
        <w:rPr>
          <w:rFonts w:eastAsia="Batang"/>
          <w:noProof/>
          <w:color w:val="000000"/>
        </w:rPr>
        <w:t>при состояниях, которые способны нарушать функцию левого желудочка, таких как неконтролируемая артериальная гипертензия, недавно пере</w:t>
      </w:r>
      <w:r w:rsidR="006B08DB">
        <w:rPr>
          <w:rFonts w:eastAsia="Batang"/>
          <w:noProof/>
          <w:color w:val="000000"/>
        </w:rPr>
        <w:t>несенный инфаркт миокарда, серье</w:t>
      </w:r>
      <w:r w:rsidRPr="00C37441">
        <w:rPr>
          <w:rFonts w:eastAsia="Batang"/>
          <w:noProof/>
          <w:color w:val="000000"/>
        </w:rPr>
        <w:t xml:space="preserve">зные нарушения сердечного ритма, </w:t>
      </w:r>
      <w:r w:rsidRPr="00C37441">
        <w:rPr>
          <w:rFonts w:eastAsia="Batang"/>
          <w:noProof/>
          <w:color w:val="000000"/>
        </w:rPr>
        <w:lastRenderedPageBreak/>
        <w:t>требующие лекарственной терапии</w:t>
      </w:r>
      <w:r w:rsidR="00EC1D08">
        <w:rPr>
          <w:rFonts w:eastAsia="Batang"/>
          <w:noProof/>
          <w:color w:val="000000"/>
        </w:rPr>
        <w:t>,</w:t>
      </w:r>
      <w:r w:rsidRPr="00C37441">
        <w:rPr>
          <w:color w:val="000000"/>
        </w:rPr>
        <w:t xml:space="preserve"> или предшествующее лечение </w:t>
      </w:r>
      <w:proofErr w:type="spellStart"/>
      <w:r w:rsidRPr="00C37441">
        <w:rPr>
          <w:color w:val="000000"/>
        </w:rPr>
        <w:t>антрациклинами</w:t>
      </w:r>
      <w:proofErr w:type="spellEnd"/>
      <w:r w:rsidRPr="00C37441">
        <w:rPr>
          <w:color w:val="000000"/>
        </w:rPr>
        <w:t xml:space="preserve"> с кумулятивной дозой доксорубицина или эквивалентного препарата &gt;360 мг/м</w:t>
      </w:r>
      <w:r w:rsidRPr="00C37441">
        <w:rPr>
          <w:color w:val="000000"/>
          <w:vertAlign w:val="superscript"/>
        </w:rPr>
        <w:t>2</w:t>
      </w:r>
      <w:r w:rsidRPr="00C37441">
        <w:rPr>
          <w:color w:val="000000"/>
        </w:rPr>
        <w:t>.</w:t>
      </w:r>
    </w:p>
    <w:p w14:paraId="06D2A21D" w14:textId="011A55CA" w:rsidR="00BE7ABE" w:rsidRDefault="00BB41DA" w:rsidP="006E6B21">
      <w:pPr>
        <w:suppressLineNumbers/>
        <w:spacing w:line="360" w:lineRule="auto"/>
        <w:rPr>
          <w:rFonts w:eastAsia="Batang"/>
          <w:color w:val="000000"/>
        </w:rPr>
      </w:pPr>
      <w:r w:rsidRPr="007A66BD">
        <w:rPr>
          <w:color w:val="000000"/>
        </w:rPr>
        <w:t>ФВЛЖ следует оценить перед</w:t>
      </w:r>
      <w:r w:rsidR="00EE4D43">
        <w:rPr>
          <w:color w:val="000000"/>
        </w:rPr>
        <w:t xml:space="preserve"> началом</w:t>
      </w:r>
      <w:r w:rsidRPr="007A66BD">
        <w:rPr>
          <w:color w:val="000000"/>
        </w:rPr>
        <w:t xml:space="preserve"> </w:t>
      </w:r>
      <w:r w:rsidR="00EE4D43">
        <w:rPr>
          <w:color w:val="000000"/>
        </w:rPr>
        <w:t>лечения</w:t>
      </w:r>
      <w:r w:rsidR="00D42416" w:rsidRPr="007A66BD">
        <w:rPr>
          <w:color w:val="000000"/>
        </w:rPr>
        <w:t xml:space="preserve"> </w:t>
      </w:r>
      <w:r w:rsidR="00EE4D43" w:rsidRPr="007A66BD">
        <w:rPr>
          <w:color w:val="000000"/>
        </w:rPr>
        <w:t>препарат</w:t>
      </w:r>
      <w:r w:rsidR="00EE4D43">
        <w:rPr>
          <w:color w:val="000000"/>
        </w:rPr>
        <w:t>ом</w:t>
      </w:r>
      <w:r w:rsidR="00EE4D43" w:rsidRPr="007A66BD">
        <w:rPr>
          <w:color w:val="000000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7A66BD">
        <w:rPr>
          <w:color w:val="000000"/>
        </w:rPr>
        <w:t xml:space="preserve"> и регулярно </w:t>
      </w:r>
      <w:r w:rsidR="00F426B0">
        <w:rPr>
          <w:color w:val="000000"/>
        </w:rPr>
        <w:t>определять на фоне лечения</w:t>
      </w:r>
      <w:r w:rsidRPr="007A66BD">
        <w:rPr>
          <w:color w:val="000000"/>
        </w:rPr>
        <w:t xml:space="preserve"> для того</w:t>
      </w:r>
      <w:r w:rsidR="00F426B0">
        <w:rPr>
          <w:color w:val="000000"/>
        </w:rPr>
        <w:t>,</w:t>
      </w:r>
      <w:r w:rsidRPr="007A66BD">
        <w:rPr>
          <w:color w:val="000000"/>
        </w:rPr>
        <w:t xml:space="preserve"> чтобы убедиться, что ФВЛЖ находится в пределах нормальных значений</w:t>
      </w:r>
      <w:r w:rsidR="00AB48BE" w:rsidRPr="005F2359">
        <w:rPr>
          <w:color w:val="000000"/>
        </w:rPr>
        <w:t xml:space="preserve"> (</w:t>
      </w:r>
      <w:r w:rsidR="00AB48BE">
        <w:rPr>
          <w:color w:val="000000"/>
        </w:rPr>
        <w:t xml:space="preserve">см. таблицу 2 </w:t>
      </w:r>
      <w:r w:rsidR="00570F5C">
        <w:rPr>
          <w:color w:val="000000"/>
        </w:rPr>
        <w:t>в разделе «Способ применения и дозы»</w:t>
      </w:r>
      <w:r w:rsidR="00AB48BE">
        <w:rPr>
          <w:color w:val="000000"/>
        </w:rPr>
        <w:t>)</w:t>
      </w:r>
      <w:r w:rsidRPr="00417FA3">
        <w:rPr>
          <w:color w:val="000000"/>
        </w:rPr>
        <w:t>.</w:t>
      </w:r>
      <w:r w:rsidRPr="00250B2E">
        <w:rPr>
          <w:color w:val="000000"/>
        </w:rPr>
        <w:t xml:space="preserve"> Если ФВЛЖ</w:t>
      </w:r>
      <w:r w:rsidR="00971469">
        <w:rPr>
          <w:color w:val="000000"/>
        </w:rPr>
        <w:t xml:space="preserve"> сниж</w:t>
      </w:r>
      <w:r w:rsidR="00E00DB7">
        <w:rPr>
          <w:color w:val="000000"/>
        </w:rPr>
        <w:t>ается</w:t>
      </w:r>
      <w:r w:rsidR="00971469">
        <w:rPr>
          <w:color w:val="000000"/>
        </w:rPr>
        <w:t xml:space="preserve"> </w:t>
      </w:r>
      <w:r w:rsidR="00D660BE">
        <w:rPr>
          <w:color w:val="000000"/>
        </w:rPr>
        <w:t>(см.</w:t>
      </w:r>
      <w:r w:rsidR="00971469">
        <w:rPr>
          <w:color w:val="000000"/>
        </w:rPr>
        <w:t xml:space="preserve"> таблиц</w:t>
      </w:r>
      <w:r w:rsidR="00D660BE">
        <w:rPr>
          <w:color w:val="000000"/>
        </w:rPr>
        <w:t>у</w:t>
      </w:r>
      <w:r w:rsidR="00971469">
        <w:rPr>
          <w:color w:val="000000"/>
        </w:rPr>
        <w:t xml:space="preserve"> 2</w:t>
      </w:r>
      <w:r w:rsidR="00570F5C">
        <w:rPr>
          <w:color w:val="000000"/>
        </w:rPr>
        <w:t xml:space="preserve"> в разделе «Способ применения и дозы»</w:t>
      </w:r>
      <w:r w:rsidR="00D660BE">
        <w:rPr>
          <w:color w:val="000000"/>
        </w:rPr>
        <w:t>)</w:t>
      </w:r>
      <w:r w:rsidR="00971469">
        <w:rPr>
          <w:color w:val="000000"/>
        </w:rPr>
        <w:t xml:space="preserve"> </w:t>
      </w:r>
      <w:r w:rsidR="005F2359">
        <w:rPr>
          <w:color w:val="000000"/>
        </w:rPr>
        <w:t xml:space="preserve">и </w:t>
      </w:r>
      <w:r w:rsidR="005F2359" w:rsidRPr="007A66BD">
        <w:rPr>
          <w:rFonts w:eastAsia="Batang"/>
          <w:color w:val="000000"/>
        </w:rPr>
        <w:t>не улучш</w:t>
      </w:r>
      <w:r w:rsidR="00E00DB7">
        <w:rPr>
          <w:rFonts w:eastAsia="Batang"/>
          <w:color w:val="000000"/>
        </w:rPr>
        <w:t>ае</w:t>
      </w:r>
      <w:r w:rsidR="005F2359" w:rsidRPr="007A66BD">
        <w:rPr>
          <w:rFonts w:eastAsia="Batang"/>
          <w:color w:val="000000"/>
        </w:rPr>
        <w:t>тся</w:t>
      </w:r>
      <w:r w:rsidR="00D660BE">
        <w:rPr>
          <w:rFonts w:eastAsia="Batang"/>
          <w:color w:val="000000"/>
        </w:rPr>
        <w:t>,</w:t>
      </w:r>
      <w:r w:rsidR="005F2359" w:rsidRPr="007A66BD">
        <w:rPr>
          <w:rFonts w:eastAsia="Batang"/>
          <w:color w:val="000000"/>
        </w:rPr>
        <w:t xml:space="preserve"> </w:t>
      </w:r>
      <w:r w:rsidR="005F2359">
        <w:rPr>
          <w:color w:val="000000"/>
        </w:rPr>
        <w:t xml:space="preserve">или </w:t>
      </w:r>
      <w:r w:rsidR="00F426B0">
        <w:rPr>
          <w:rFonts w:eastAsia="Batang"/>
          <w:color w:val="000000"/>
        </w:rPr>
        <w:t>после повторной оценки</w:t>
      </w:r>
      <w:r w:rsidRPr="007A66BD">
        <w:rPr>
          <w:rFonts w:eastAsia="Batang"/>
          <w:color w:val="000000"/>
        </w:rPr>
        <w:t xml:space="preserve"> </w:t>
      </w:r>
      <w:r w:rsidR="00E00DB7" w:rsidRPr="007A66BD">
        <w:rPr>
          <w:rFonts w:eastAsia="Batang"/>
          <w:color w:val="000000"/>
        </w:rPr>
        <w:t>прои</w:t>
      </w:r>
      <w:r w:rsidR="00E00DB7">
        <w:rPr>
          <w:rFonts w:eastAsia="Batang"/>
          <w:color w:val="000000"/>
        </w:rPr>
        <w:t>сходит</w:t>
      </w:r>
      <w:r w:rsidR="00E00DB7" w:rsidRPr="007A66BD">
        <w:rPr>
          <w:rFonts w:eastAsia="Batang"/>
          <w:color w:val="000000"/>
        </w:rPr>
        <w:t xml:space="preserve"> </w:t>
      </w:r>
      <w:r w:rsidRPr="007A66BD">
        <w:rPr>
          <w:rFonts w:eastAsia="Batang"/>
          <w:color w:val="000000"/>
        </w:rPr>
        <w:t xml:space="preserve">ее дальнейшее снижение, </w:t>
      </w:r>
      <w:r w:rsidRPr="00007C81">
        <w:rPr>
          <w:rFonts w:eastAsia="Batang"/>
          <w:color w:val="000000"/>
        </w:rPr>
        <w:t>следует рассмотреть вопрос об отмене препарат</w:t>
      </w:r>
      <w:r w:rsidR="00B67D09">
        <w:rPr>
          <w:rFonts w:eastAsia="Batang"/>
          <w:color w:val="000000"/>
        </w:rPr>
        <w:t>а</w:t>
      </w:r>
      <w:r w:rsidRPr="00007C81">
        <w:rPr>
          <w:rFonts w:eastAsia="Batang"/>
          <w:color w:val="000000"/>
        </w:rPr>
        <w:t xml:space="preserve">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007C81">
        <w:rPr>
          <w:rFonts w:eastAsia="Batang"/>
          <w:color w:val="000000"/>
        </w:rPr>
        <w:t xml:space="preserve"> и </w:t>
      </w:r>
      <w:r w:rsidR="00B67D09">
        <w:rPr>
          <w:rFonts w:eastAsia="Batang"/>
          <w:color w:val="000000"/>
        </w:rPr>
        <w:t>т</w:t>
      </w:r>
      <w:r w:rsidR="00E856AD">
        <w:rPr>
          <w:rFonts w:eastAsia="Batang"/>
          <w:color w:val="000000"/>
        </w:rPr>
        <w:t>растузумаб</w:t>
      </w:r>
      <w:r w:rsidR="00B67D09">
        <w:rPr>
          <w:rFonts w:eastAsia="Batang"/>
          <w:color w:val="000000"/>
        </w:rPr>
        <w:t>а</w:t>
      </w:r>
      <w:r w:rsidRPr="00007C81">
        <w:rPr>
          <w:rFonts w:eastAsia="Batang"/>
          <w:color w:val="000000"/>
        </w:rPr>
        <w:t>, если только не будет</w:t>
      </w:r>
      <w:r w:rsidR="008532A4">
        <w:rPr>
          <w:rFonts w:eastAsia="Batang"/>
          <w:color w:val="000000"/>
        </w:rPr>
        <w:t xml:space="preserve"> </w:t>
      </w:r>
      <w:r w:rsidR="007A6808">
        <w:rPr>
          <w:rFonts w:eastAsia="Batang"/>
          <w:color w:val="000000"/>
        </w:rPr>
        <w:t xml:space="preserve">принято </w:t>
      </w:r>
      <w:r w:rsidR="007A6808" w:rsidRPr="00007C81">
        <w:rPr>
          <w:rFonts w:eastAsia="Batang"/>
          <w:color w:val="000000"/>
        </w:rPr>
        <w:t>решен</w:t>
      </w:r>
      <w:r w:rsidR="007A6808">
        <w:rPr>
          <w:rFonts w:eastAsia="Batang"/>
          <w:color w:val="000000"/>
        </w:rPr>
        <w:t>ие</w:t>
      </w:r>
      <w:r w:rsidRPr="00007C81">
        <w:rPr>
          <w:rFonts w:eastAsia="Batang"/>
          <w:color w:val="000000"/>
        </w:rPr>
        <w:t xml:space="preserve">, что преимущества их применения для конкретного пациента </w:t>
      </w:r>
      <w:r w:rsidR="002536D0" w:rsidRPr="00007C81">
        <w:rPr>
          <w:rFonts w:eastAsia="Batang"/>
          <w:color w:val="000000"/>
        </w:rPr>
        <w:t>превосходят риск</w:t>
      </w:r>
      <w:r w:rsidRPr="00007C81">
        <w:rPr>
          <w:rFonts w:eastAsia="Batang"/>
          <w:color w:val="000000"/>
        </w:rPr>
        <w:t>.</w:t>
      </w:r>
      <w:r w:rsidR="00F426B0">
        <w:rPr>
          <w:rFonts w:eastAsia="Batang"/>
          <w:color w:val="000000"/>
        </w:rPr>
        <w:t xml:space="preserve"> </w:t>
      </w:r>
    </w:p>
    <w:p w14:paraId="24DC5673" w14:textId="77777777" w:rsidR="00FA2D6A" w:rsidRPr="00DD31F9" w:rsidRDefault="00FA2D6A" w:rsidP="00C957E2">
      <w:pPr>
        <w:suppressLineNumbers/>
        <w:spacing w:line="360" w:lineRule="auto"/>
        <w:rPr>
          <w:i/>
          <w:color w:val="000000"/>
        </w:rPr>
      </w:pPr>
      <w:r w:rsidRPr="00DD31F9">
        <w:rPr>
          <w:i/>
          <w:color w:val="000000"/>
        </w:rPr>
        <w:t>Инфузионные реакции</w:t>
      </w:r>
    </w:p>
    <w:p w14:paraId="33ED34F9" w14:textId="448E05FF" w:rsidR="00BB41DA" w:rsidRDefault="00295C2E" w:rsidP="00C957E2">
      <w:pPr>
        <w:suppressLineNumbers/>
        <w:spacing w:line="360" w:lineRule="auto"/>
        <w:rPr>
          <w:rFonts w:eastAsia="Batang"/>
          <w:color w:val="000000"/>
        </w:rPr>
      </w:pPr>
      <w:r>
        <w:rPr>
          <w:color w:val="000000"/>
        </w:rPr>
        <w:t xml:space="preserve">Развитие </w:t>
      </w:r>
      <w:r w:rsidRPr="00DD31F9">
        <w:rPr>
          <w:color w:val="000000"/>
        </w:rPr>
        <w:t>инфузионных реакций</w:t>
      </w:r>
      <w:r>
        <w:rPr>
          <w:color w:val="000000"/>
        </w:rPr>
        <w:t>, в том числе с летальным исходом</w:t>
      </w:r>
      <w:r w:rsidR="00853FD3">
        <w:rPr>
          <w:color w:val="000000"/>
        </w:rPr>
        <w:t>,</w:t>
      </w:r>
      <w:r>
        <w:rPr>
          <w:color w:val="000000"/>
        </w:rPr>
        <w:t xml:space="preserve"> было связано </w:t>
      </w:r>
      <w:r w:rsidR="00B4594A">
        <w:rPr>
          <w:color w:val="000000"/>
          <w:lang w:val="en-US"/>
        </w:rPr>
        <w:t>c</w:t>
      </w:r>
      <w:r w:rsidR="00B4594A" w:rsidRPr="00C61C9F">
        <w:rPr>
          <w:color w:val="000000"/>
        </w:rPr>
        <w:t xml:space="preserve"> </w:t>
      </w:r>
      <w:r>
        <w:rPr>
          <w:color w:val="000000"/>
        </w:rPr>
        <w:t>п</w:t>
      </w:r>
      <w:r w:rsidR="00BB41DA" w:rsidRPr="007A66BD">
        <w:rPr>
          <w:color w:val="000000"/>
        </w:rPr>
        <w:t>рименени</w:t>
      </w:r>
      <w:r w:rsidR="00561C88">
        <w:rPr>
          <w:color w:val="000000"/>
        </w:rPr>
        <w:t>е</w:t>
      </w:r>
      <w:r>
        <w:rPr>
          <w:color w:val="000000"/>
        </w:rPr>
        <w:t>м</w:t>
      </w:r>
      <w:r w:rsidR="00BB41DA" w:rsidRPr="007A66BD">
        <w:rPr>
          <w:color w:val="000000"/>
        </w:rPr>
        <w:t xml:space="preserve">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BB41DA" w:rsidRPr="007A66BD">
        <w:rPr>
          <w:color w:val="000000"/>
        </w:rPr>
        <w:t xml:space="preserve">. При введении препарата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BB41DA" w:rsidRPr="007A66BD">
        <w:rPr>
          <w:color w:val="000000"/>
        </w:rPr>
        <w:t xml:space="preserve"> </w:t>
      </w:r>
      <w:r w:rsidR="00666FBA">
        <w:rPr>
          <w:color w:val="000000"/>
        </w:rPr>
        <w:t>следует тщательно наблюдать за пациентом</w:t>
      </w:r>
      <w:r w:rsidR="00D6695C">
        <w:rPr>
          <w:color w:val="000000"/>
        </w:rPr>
        <w:t xml:space="preserve"> </w:t>
      </w:r>
      <w:r w:rsidR="00BB41DA" w:rsidRPr="007A66BD">
        <w:rPr>
          <w:color w:val="000000"/>
        </w:rPr>
        <w:t xml:space="preserve">на протяжении первой инфузии и в течение 60 минут после ее окончания, а также на протяжении последующих инфузий и в течение 30 минут после их окончания. При развитии </w:t>
      </w:r>
      <w:r w:rsidR="00970FB9">
        <w:rPr>
          <w:color w:val="000000"/>
        </w:rPr>
        <w:t xml:space="preserve">клинически </w:t>
      </w:r>
      <w:r w:rsidR="00BB41DA" w:rsidRPr="007A66BD">
        <w:rPr>
          <w:color w:val="000000"/>
        </w:rPr>
        <w:t xml:space="preserve">значимой реакции на инфузию следует замедлить </w:t>
      </w:r>
      <w:r w:rsidR="00EE71EF">
        <w:rPr>
          <w:color w:val="000000"/>
        </w:rPr>
        <w:t>скорость</w:t>
      </w:r>
      <w:r w:rsidR="00BB41DA" w:rsidRPr="007A66BD">
        <w:rPr>
          <w:color w:val="000000"/>
        </w:rPr>
        <w:t xml:space="preserve"> инфузии или прервать ее и провести соответствующие лечебные мероприятия. </w:t>
      </w:r>
      <w:r w:rsidR="00970FB9">
        <w:rPr>
          <w:color w:val="000000"/>
        </w:rPr>
        <w:t xml:space="preserve">Тщательное наблюдение за пациентом и оценка его состояния рекомендуются до </w:t>
      </w:r>
      <w:r w:rsidR="00BB41DA" w:rsidRPr="007A66BD">
        <w:rPr>
          <w:color w:val="000000"/>
        </w:rPr>
        <w:t xml:space="preserve">полного разрешения </w:t>
      </w:r>
      <w:r w:rsidR="00375505">
        <w:rPr>
          <w:color w:val="000000"/>
        </w:rPr>
        <w:t xml:space="preserve">признаков и </w:t>
      </w:r>
      <w:r w:rsidR="00BB41DA" w:rsidRPr="007A66BD">
        <w:rPr>
          <w:color w:val="000000"/>
        </w:rPr>
        <w:t xml:space="preserve">симптомов. </w:t>
      </w:r>
      <w:r w:rsidR="00BB41DA" w:rsidRPr="00007C81">
        <w:rPr>
          <w:color w:val="000000"/>
        </w:rPr>
        <w:t xml:space="preserve">У пациентов с тяжелыми </w:t>
      </w:r>
      <w:r w:rsidR="00DE07F4" w:rsidRPr="00007C81">
        <w:rPr>
          <w:color w:val="000000"/>
        </w:rPr>
        <w:t>инфузион</w:t>
      </w:r>
      <w:r w:rsidR="00AF4622">
        <w:rPr>
          <w:color w:val="000000"/>
        </w:rPr>
        <w:t>н</w:t>
      </w:r>
      <w:r w:rsidR="00DE07F4" w:rsidRPr="00007C81">
        <w:rPr>
          <w:color w:val="000000"/>
        </w:rPr>
        <w:t xml:space="preserve">ыми </w:t>
      </w:r>
      <w:r w:rsidR="00BB41DA" w:rsidRPr="00007C81">
        <w:rPr>
          <w:color w:val="000000"/>
        </w:rPr>
        <w:t>реакциями</w:t>
      </w:r>
      <w:r w:rsidR="00DE07F4" w:rsidRPr="00007C81">
        <w:rPr>
          <w:color w:val="000000"/>
        </w:rPr>
        <w:t xml:space="preserve"> </w:t>
      </w:r>
      <w:r w:rsidR="00BB41DA" w:rsidRPr="00007C81">
        <w:rPr>
          <w:color w:val="000000"/>
        </w:rPr>
        <w:t>следует оценить необходимость полной отмены препарата</w:t>
      </w:r>
      <w:r w:rsidR="00F426B0">
        <w:rPr>
          <w:color w:val="000000"/>
        </w:rPr>
        <w:t xml:space="preserve"> с уче</w:t>
      </w:r>
      <w:r w:rsidR="00357AA5">
        <w:rPr>
          <w:color w:val="000000"/>
        </w:rPr>
        <w:t xml:space="preserve">том степени тяжести наблюдавшейся реакции и </w:t>
      </w:r>
      <w:r w:rsidR="00BB41DA" w:rsidRPr="007A66BD">
        <w:rPr>
          <w:rFonts w:eastAsia="Batang"/>
          <w:color w:val="000000"/>
        </w:rPr>
        <w:t>характер</w:t>
      </w:r>
      <w:r w:rsidR="00357AA5">
        <w:rPr>
          <w:rFonts w:eastAsia="Batang"/>
          <w:color w:val="000000"/>
        </w:rPr>
        <w:t>а</w:t>
      </w:r>
      <w:r w:rsidR="00BB41DA" w:rsidRPr="007A66BD">
        <w:rPr>
          <w:rFonts w:eastAsia="Batang"/>
          <w:color w:val="000000"/>
        </w:rPr>
        <w:t xml:space="preserve"> ответа на лечение, назначенно</w:t>
      </w:r>
      <w:r w:rsidR="00357AA5">
        <w:rPr>
          <w:rFonts w:eastAsia="Batang"/>
          <w:color w:val="000000"/>
        </w:rPr>
        <w:t>го</w:t>
      </w:r>
      <w:r w:rsidR="00BB41DA" w:rsidRPr="007A66BD">
        <w:rPr>
          <w:rFonts w:eastAsia="Batang"/>
          <w:color w:val="000000"/>
        </w:rPr>
        <w:t xml:space="preserve"> в связи с нежелательной реакцией</w:t>
      </w:r>
      <w:r w:rsidR="00EE71EF">
        <w:rPr>
          <w:rFonts w:eastAsia="Batang"/>
          <w:color w:val="000000"/>
        </w:rPr>
        <w:t>.</w:t>
      </w:r>
      <w:r w:rsidR="006D220B">
        <w:rPr>
          <w:rFonts w:eastAsia="Batang"/>
          <w:color w:val="000000"/>
        </w:rPr>
        <w:t xml:space="preserve"> </w:t>
      </w:r>
    </w:p>
    <w:p w14:paraId="2E15FAF7" w14:textId="77777777" w:rsidR="00473E70" w:rsidRPr="00DD31F9" w:rsidRDefault="00473E70" w:rsidP="00C957E2">
      <w:pPr>
        <w:suppressLineNumbers/>
        <w:spacing w:line="360" w:lineRule="auto"/>
        <w:rPr>
          <w:rFonts w:eastAsia="Batang"/>
          <w:i/>
          <w:color w:val="000000"/>
        </w:rPr>
      </w:pPr>
      <w:r w:rsidRPr="00DD31F9">
        <w:rPr>
          <w:rFonts w:eastAsia="Batang"/>
          <w:i/>
          <w:color w:val="000000"/>
        </w:rPr>
        <w:t>Реакции гиперчувствительности/анафилаксии</w:t>
      </w:r>
    </w:p>
    <w:p w14:paraId="1C49ACA6" w14:textId="26733805" w:rsidR="00473E70" w:rsidRPr="008C07A9" w:rsidRDefault="00F73DB5" w:rsidP="00C957E2">
      <w:pPr>
        <w:suppressLineNumber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Тяжелые реакции гиперчувствительности, включая анафилаксию</w:t>
      </w:r>
      <w:r w:rsidR="00561C88">
        <w:rPr>
          <w:rFonts w:eastAsia="Batang"/>
          <w:color w:val="000000"/>
        </w:rPr>
        <w:t xml:space="preserve"> и явления с летальным исходом</w:t>
      </w:r>
      <w:r>
        <w:rPr>
          <w:rFonts w:eastAsia="Batang"/>
          <w:color w:val="000000"/>
        </w:rPr>
        <w:t xml:space="preserve">, наблюдались на фоне терапии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DD31F9">
        <w:rPr>
          <w:rFonts w:eastAsia="Batang"/>
          <w:color w:val="000000"/>
        </w:rPr>
        <w:t xml:space="preserve">. </w:t>
      </w:r>
      <w:r>
        <w:rPr>
          <w:rFonts w:eastAsia="Batang"/>
          <w:color w:val="000000"/>
        </w:rPr>
        <w:t xml:space="preserve">Необходимо тщательно следить за состоянием пациента на предмет развития у него </w:t>
      </w:r>
      <w:r w:rsidR="00036E79">
        <w:rPr>
          <w:rFonts w:eastAsia="Batang"/>
          <w:color w:val="000000"/>
        </w:rPr>
        <w:t xml:space="preserve">реакций гиперчувствительности. </w:t>
      </w:r>
      <w:r w:rsidR="00544368">
        <w:rPr>
          <w:rFonts w:eastAsia="Batang"/>
          <w:color w:val="000000"/>
        </w:rPr>
        <w:t xml:space="preserve">В случае возникновения </w:t>
      </w:r>
      <w:r w:rsidR="008C07A9" w:rsidRPr="008C07A9">
        <w:rPr>
          <w:rFonts w:eastAsia="Batang"/>
          <w:color w:val="000000"/>
        </w:rPr>
        <w:t xml:space="preserve">реакций </w:t>
      </w:r>
      <w:r w:rsidR="008C07A9">
        <w:rPr>
          <w:rFonts w:eastAsia="Batang"/>
          <w:color w:val="000000"/>
        </w:rPr>
        <w:t>гиперчувствительности/анафилаксии</w:t>
      </w:r>
      <w:r w:rsidR="008C07A9" w:rsidRPr="008C07A9">
        <w:rPr>
          <w:rFonts w:eastAsia="Batang"/>
          <w:color w:val="000000"/>
        </w:rPr>
        <w:t xml:space="preserve"> </w:t>
      </w:r>
      <w:r w:rsidR="00544368">
        <w:rPr>
          <w:rFonts w:eastAsia="Batang"/>
          <w:color w:val="000000"/>
        </w:rPr>
        <w:t>необходимо незамедлительно начать соответствующие мероприятия, используя необходимые лекарственные препараты и оборудование для оказания неотложной помощи</w:t>
      </w:r>
      <w:r w:rsidR="008C07A9" w:rsidRPr="008C07A9">
        <w:rPr>
          <w:rFonts w:eastAsia="Batang"/>
          <w:color w:val="000000"/>
        </w:rPr>
        <w:t>.</w:t>
      </w:r>
      <w:r w:rsidR="008C07A9">
        <w:rPr>
          <w:rFonts w:eastAsia="Batang"/>
          <w:color w:val="000000"/>
        </w:rPr>
        <w:t xml:space="preserve"> 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8C07A9" w:rsidRPr="00DD31F9">
        <w:rPr>
          <w:rFonts w:eastAsia="Batang"/>
          <w:color w:val="000000"/>
        </w:rPr>
        <w:t xml:space="preserve"> </w:t>
      </w:r>
      <w:r w:rsidR="008C07A9">
        <w:rPr>
          <w:rFonts w:eastAsia="Batang"/>
          <w:color w:val="000000"/>
        </w:rPr>
        <w:t xml:space="preserve">противопоказан при наличии у пациента </w:t>
      </w:r>
      <w:r w:rsidR="00B76C58">
        <w:rPr>
          <w:bCs/>
          <w:kern w:val="36"/>
        </w:rPr>
        <w:t>гиперчувствительности</w:t>
      </w:r>
      <w:r w:rsidR="008C07A9" w:rsidRPr="007A66BD">
        <w:rPr>
          <w:bCs/>
          <w:kern w:val="36"/>
        </w:rPr>
        <w:t xml:space="preserve"> к </w:t>
      </w:r>
      <w:proofErr w:type="spellStart"/>
      <w:r w:rsidR="008C07A9" w:rsidRPr="007A66BD">
        <w:rPr>
          <w:bCs/>
          <w:kern w:val="36"/>
        </w:rPr>
        <w:t>пертузумабу</w:t>
      </w:r>
      <w:proofErr w:type="spellEnd"/>
      <w:r w:rsidR="008C07A9" w:rsidRPr="007A66BD">
        <w:rPr>
          <w:bCs/>
          <w:kern w:val="36"/>
        </w:rPr>
        <w:t xml:space="preserve"> и к другим компонентам препарата</w:t>
      </w:r>
      <w:r w:rsidR="008C07A9">
        <w:rPr>
          <w:bCs/>
          <w:kern w:val="36"/>
        </w:rPr>
        <w:t xml:space="preserve">. </w:t>
      </w:r>
    </w:p>
    <w:p w14:paraId="51712AC1" w14:textId="77777777" w:rsidR="009702E0" w:rsidRPr="009702E0" w:rsidRDefault="009702E0" w:rsidP="00C957E2">
      <w:pPr>
        <w:suppressLineNumbers/>
        <w:spacing w:line="360" w:lineRule="auto"/>
        <w:rPr>
          <w:rFonts w:eastAsia="Batang"/>
          <w:i/>
          <w:color w:val="000000"/>
        </w:rPr>
      </w:pPr>
      <w:r w:rsidRPr="009702E0">
        <w:rPr>
          <w:rFonts w:eastAsia="Batang"/>
          <w:i/>
          <w:color w:val="000000"/>
        </w:rPr>
        <w:t>Фебрильная нейтропения</w:t>
      </w:r>
    </w:p>
    <w:p w14:paraId="7D820EC4" w14:textId="77777777" w:rsidR="009702E0" w:rsidRPr="009702E0" w:rsidRDefault="009702E0" w:rsidP="00C957E2">
      <w:pPr>
        <w:suppressLineNumbers/>
        <w:spacing w:line="360" w:lineRule="auto"/>
        <w:rPr>
          <w:rFonts w:eastAsia="Batang"/>
          <w:color w:val="000000"/>
        </w:rPr>
      </w:pPr>
      <w:r w:rsidRPr="009702E0">
        <w:rPr>
          <w:rFonts w:eastAsia="Batang"/>
          <w:color w:val="000000"/>
        </w:rPr>
        <w:t xml:space="preserve">У пациентов, получающих терапию препаратом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Pr="009702E0">
        <w:rPr>
          <w:rFonts w:eastAsia="Batang"/>
          <w:color w:val="000000"/>
        </w:rPr>
        <w:t xml:space="preserve">, </w:t>
      </w:r>
      <w:proofErr w:type="spellStart"/>
      <w:r>
        <w:rPr>
          <w:rFonts w:eastAsia="Batang"/>
          <w:color w:val="000000"/>
        </w:rPr>
        <w:t>трастузумабом</w:t>
      </w:r>
      <w:proofErr w:type="spellEnd"/>
      <w:r w:rsidRPr="009702E0">
        <w:rPr>
          <w:rFonts w:eastAsia="Batang"/>
          <w:color w:val="000000"/>
        </w:rPr>
        <w:t xml:space="preserve"> и </w:t>
      </w:r>
      <w:proofErr w:type="spellStart"/>
      <w:r w:rsidRPr="009702E0">
        <w:rPr>
          <w:rFonts w:eastAsia="Batang"/>
          <w:color w:val="000000"/>
        </w:rPr>
        <w:t>доцетакселом</w:t>
      </w:r>
      <w:proofErr w:type="spellEnd"/>
      <w:r w:rsidRPr="009702E0">
        <w:rPr>
          <w:rFonts w:eastAsia="Batang"/>
          <w:color w:val="000000"/>
        </w:rPr>
        <w:t xml:space="preserve">, повышен риск развития фебрильной нейтропении, по сравнению с пациентами, </w:t>
      </w:r>
      <w:r w:rsidRPr="009702E0">
        <w:rPr>
          <w:rFonts w:eastAsia="Batang"/>
          <w:color w:val="000000"/>
        </w:rPr>
        <w:lastRenderedPageBreak/>
        <w:t xml:space="preserve">получающими терапию только </w:t>
      </w:r>
      <w:proofErr w:type="spellStart"/>
      <w:r>
        <w:rPr>
          <w:rFonts w:eastAsia="Batang"/>
          <w:color w:val="000000"/>
        </w:rPr>
        <w:t>трастузумабом</w:t>
      </w:r>
      <w:proofErr w:type="spellEnd"/>
      <w:r w:rsidR="00036E79">
        <w:rPr>
          <w:rFonts w:eastAsia="Batang"/>
          <w:color w:val="000000"/>
        </w:rPr>
        <w:t xml:space="preserve"> </w:t>
      </w:r>
      <w:r w:rsidRPr="009702E0">
        <w:rPr>
          <w:rFonts w:eastAsia="Batang"/>
          <w:color w:val="000000"/>
        </w:rPr>
        <w:t xml:space="preserve">и </w:t>
      </w:r>
      <w:proofErr w:type="spellStart"/>
      <w:r w:rsidRPr="009702E0">
        <w:rPr>
          <w:rFonts w:eastAsia="Batang"/>
          <w:color w:val="000000"/>
        </w:rPr>
        <w:t>доцетакселом</w:t>
      </w:r>
      <w:proofErr w:type="spellEnd"/>
      <w:r w:rsidRPr="009702E0">
        <w:rPr>
          <w:rFonts w:eastAsia="Batang"/>
          <w:color w:val="000000"/>
        </w:rPr>
        <w:t xml:space="preserve">, особенно в течение первых 3-х циклов терапии. </w:t>
      </w:r>
    </w:p>
    <w:p w14:paraId="017D818C" w14:textId="77777777" w:rsidR="009702E0" w:rsidRPr="009702E0" w:rsidRDefault="00187493" w:rsidP="00C957E2">
      <w:pPr>
        <w:suppressLineNumbers/>
        <w:spacing w:line="360" w:lineRule="auto"/>
        <w:rPr>
          <w:rFonts w:eastAsia="Batang"/>
          <w:color w:val="000000"/>
        </w:rPr>
      </w:pPr>
      <w:r>
        <w:rPr>
          <w:rFonts w:eastAsia="Batang"/>
          <w:color w:val="000000"/>
        </w:rPr>
        <w:t>При терапии метастатического рака молочной железы м</w:t>
      </w:r>
      <w:r w:rsidR="009702E0" w:rsidRPr="009702E0">
        <w:rPr>
          <w:rFonts w:eastAsia="Batang"/>
          <w:color w:val="000000"/>
        </w:rPr>
        <w:t>инимальные значения числа нейтрофилов</w:t>
      </w:r>
      <w:r>
        <w:rPr>
          <w:rFonts w:eastAsia="Batang"/>
          <w:color w:val="000000"/>
        </w:rPr>
        <w:t xml:space="preserve"> были</w:t>
      </w:r>
      <w:r w:rsidR="009702E0" w:rsidRPr="009702E0">
        <w:rPr>
          <w:rFonts w:eastAsia="Batang"/>
          <w:color w:val="000000"/>
        </w:rPr>
        <w:t xml:space="preserve"> схожи у пациентов, получавших 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9702E0" w:rsidRPr="009702E0">
        <w:rPr>
          <w:rFonts w:eastAsia="Batang"/>
          <w:color w:val="000000"/>
        </w:rPr>
        <w:t xml:space="preserve">, </w:t>
      </w:r>
      <w:r w:rsidR="009702E0">
        <w:rPr>
          <w:rFonts w:eastAsia="Batang"/>
          <w:color w:val="000000"/>
        </w:rPr>
        <w:t>трастузумаб</w:t>
      </w:r>
      <w:r w:rsidR="009702E0" w:rsidRPr="009702E0">
        <w:rPr>
          <w:rFonts w:eastAsia="Batang"/>
          <w:color w:val="000000"/>
        </w:rPr>
        <w:t xml:space="preserve"> и </w:t>
      </w:r>
      <w:proofErr w:type="spellStart"/>
      <w:r w:rsidR="009702E0" w:rsidRPr="009702E0">
        <w:rPr>
          <w:rFonts w:eastAsia="Batang"/>
          <w:color w:val="000000"/>
        </w:rPr>
        <w:t>доцетаксел</w:t>
      </w:r>
      <w:proofErr w:type="spellEnd"/>
      <w:r w:rsidR="009702E0" w:rsidRPr="009702E0">
        <w:rPr>
          <w:rFonts w:eastAsia="Batang"/>
          <w:color w:val="000000"/>
        </w:rPr>
        <w:t xml:space="preserve">, и у пациентов, получавших </w:t>
      </w:r>
      <w:r w:rsidR="009702E0">
        <w:rPr>
          <w:rFonts w:eastAsia="Batang"/>
          <w:color w:val="000000"/>
        </w:rPr>
        <w:t>трастузумаб</w:t>
      </w:r>
      <w:r w:rsidR="009702E0" w:rsidRPr="009702E0">
        <w:rPr>
          <w:rFonts w:eastAsia="Batang"/>
          <w:color w:val="000000"/>
        </w:rPr>
        <w:t xml:space="preserve"> и </w:t>
      </w:r>
      <w:proofErr w:type="spellStart"/>
      <w:r w:rsidR="009702E0" w:rsidRPr="009702E0">
        <w:rPr>
          <w:rFonts w:eastAsia="Batang"/>
          <w:color w:val="000000"/>
        </w:rPr>
        <w:t>доцетаксел</w:t>
      </w:r>
      <w:proofErr w:type="spellEnd"/>
      <w:r w:rsidR="009702E0" w:rsidRPr="009702E0">
        <w:rPr>
          <w:rFonts w:eastAsia="Batang"/>
          <w:color w:val="000000"/>
        </w:rPr>
        <w:t xml:space="preserve">. </w:t>
      </w:r>
    </w:p>
    <w:p w14:paraId="46DF9394" w14:textId="77777777" w:rsidR="009702E0" w:rsidRPr="00DD31F9" w:rsidRDefault="009702E0" w:rsidP="00C957E2">
      <w:pPr>
        <w:suppressLineNumbers/>
        <w:spacing w:line="360" w:lineRule="auto"/>
        <w:rPr>
          <w:rFonts w:eastAsia="Batang"/>
          <w:color w:val="000000"/>
        </w:rPr>
      </w:pPr>
      <w:r w:rsidRPr="009702E0">
        <w:rPr>
          <w:rFonts w:eastAsia="Batang"/>
          <w:color w:val="000000"/>
        </w:rPr>
        <w:t xml:space="preserve">Таким образом, более высокая частота фебрильной нейтропении у пациентов, получающих препарат </w:t>
      </w:r>
      <w:proofErr w:type="spellStart"/>
      <w:r w:rsidR="009E4769">
        <w:t>Перьета</w:t>
      </w:r>
      <w:proofErr w:type="spellEnd"/>
      <w:r w:rsidR="009E4769" w:rsidRPr="006E2758">
        <w:rPr>
          <w:vertAlign w:val="superscript"/>
        </w:rPr>
        <w:t>®</w:t>
      </w:r>
      <w:r w:rsidR="00D20253">
        <w:t>,</w:t>
      </w:r>
      <w:r w:rsidR="00702D98">
        <w:rPr>
          <w:rFonts w:eastAsia="Batang"/>
          <w:color w:val="000000"/>
        </w:rPr>
        <w:t xml:space="preserve"> была</w:t>
      </w:r>
      <w:r w:rsidRPr="009702E0">
        <w:rPr>
          <w:rFonts w:eastAsia="Batang"/>
          <w:color w:val="000000"/>
        </w:rPr>
        <w:t xml:space="preserve"> связана с более высокой частотой </w:t>
      </w:r>
      <w:proofErr w:type="spellStart"/>
      <w:r w:rsidRPr="009702E0">
        <w:rPr>
          <w:rFonts w:eastAsia="Batang"/>
          <w:color w:val="000000"/>
        </w:rPr>
        <w:t>мукозита</w:t>
      </w:r>
      <w:proofErr w:type="spellEnd"/>
      <w:r w:rsidRPr="009702E0">
        <w:rPr>
          <w:rFonts w:eastAsia="Batang"/>
          <w:color w:val="000000"/>
        </w:rPr>
        <w:t xml:space="preserve"> и диареи у </w:t>
      </w:r>
      <w:r w:rsidR="00036E79">
        <w:rPr>
          <w:rFonts w:eastAsia="Batang"/>
          <w:color w:val="000000"/>
        </w:rPr>
        <w:t>данных пациентов, в связи с чем</w:t>
      </w:r>
      <w:r w:rsidRPr="009702E0">
        <w:rPr>
          <w:rFonts w:eastAsia="Batang"/>
          <w:color w:val="000000"/>
        </w:rPr>
        <w:t xml:space="preserve"> следует рассмотреть возможность симптоматического лечения </w:t>
      </w:r>
      <w:proofErr w:type="spellStart"/>
      <w:r w:rsidRPr="009702E0">
        <w:rPr>
          <w:rFonts w:eastAsia="Batang"/>
          <w:color w:val="000000"/>
        </w:rPr>
        <w:t>мукозита</w:t>
      </w:r>
      <w:proofErr w:type="spellEnd"/>
      <w:r w:rsidRPr="009702E0">
        <w:rPr>
          <w:rFonts w:eastAsia="Batang"/>
          <w:color w:val="000000"/>
        </w:rPr>
        <w:t xml:space="preserve"> и диареи. </w:t>
      </w:r>
      <w:r w:rsidR="00B937F5">
        <w:rPr>
          <w:rFonts w:eastAsia="Batang"/>
          <w:color w:val="000000"/>
        </w:rPr>
        <w:t>О</w:t>
      </w:r>
      <w:r w:rsidRPr="009702E0">
        <w:rPr>
          <w:rFonts w:eastAsia="Batang"/>
          <w:color w:val="000000"/>
        </w:rPr>
        <w:t xml:space="preserve"> случаях фебрильной нейтропении после исключения из схемы лечения </w:t>
      </w:r>
      <w:proofErr w:type="spellStart"/>
      <w:r w:rsidRPr="009702E0">
        <w:rPr>
          <w:rFonts w:eastAsia="Batang"/>
          <w:color w:val="000000"/>
        </w:rPr>
        <w:t>доцетаксела</w:t>
      </w:r>
      <w:proofErr w:type="spellEnd"/>
      <w:r w:rsidR="00B937F5" w:rsidRPr="00B937F5">
        <w:rPr>
          <w:rFonts w:eastAsia="Batang"/>
          <w:color w:val="000000"/>
        </w:rPr>
        <w:t xml:space="preserve"> </w:t>
      </w:r>
      <w:r w:rsidR="00B937F5" w:rsidRPr="009702E0">
        <w:rPr>
          <w:rFonts w:eastAsia="Batang"/>
          <w:color w:val="000000"/>
        </w:rPr>
        <w:t>не сообщалось</w:t>
      </w:r>
      <w:r w:rsidRPr="009702E0">
        <w:rPr>
          <w:rFonts w:eastAsia="Batang"/>
          <w:color w:val="000000"/>
        </w:rPr>
        <w:t xml:space="preserve">. </w:t>
      </w:r>
    </w:p>
    <w:p w14:paraId="6AD47806" w14:textId="77777777" w:rsidR="00D5473C" w:rsidRPr="009F2708" w:rsidRDefault="00D5473C" w:rsidP="00D5473C">
      <w:pPr>
        <w:suppressLineNumbers/>
        <w:spacing w:line="360" w:lineRule="auto"/>
        <w:rPr>
          <w:i/>
          <w:noProof/>
          <w:color w:val="000000"/>
        </w:rPr>
      </w:pPr>
      <w:r w:rsidRPr="009F2708">
        <w:rPr>
          <w:i/>
          <w:noProof/>
          <w:color w:val="000000"/>
        </w:rPr>
        <w:t>Особые группы пациентов</w:t>
      </w:r>
    </w:p>
    <w:p w14:paraId="740D79F5" w14:textId="77777777" w:rsidR="00D5473C" w:rsidRDefault="00D5473C" w:rsidP="00D5473C">
      <w:pPr>
        <w:suppressLineNumbers/>
        <w:spacing w:line="360" w:lineRule="auto"/>
        <w:rPr>
          <w:i/>
          <w:noProof/>
          <w:color w:val="000000"/>
          <w:u w:val="single"/>
        </w:rPr>
      </w:pPr>
      <w:r w:rsidRPr="009F2708">
        <w:rPr>
          <w:i/>
          <w:noProof/>
          <w:color w:val="000000"/>
          <w:u w:val="single"/>
        </w:rPr>
        <w:t>Пациенты пожилого возраста</w:t>
      </w:r>
    </w:p>
    <w:p w14:paraId="440CAEE7" w14:textId="056C45DD" w:rsidR="00D5473C" w:rsidRPr="009F2708" w:rsidRDefault="00D5473C" w:rsidP="00D5473C">
      <w:pPr>
        <w:suppressLineNumbers/>
        <w:spacing w:line="360" w:lineRule="auto"/>
        <w:rPr>
          <w:noProof/>
          <w:color w:val="000000"/>
        </w:rPr>
      </w:pPr>
      <w:r w:rsidRPr="009F2708">
        <w:rPr>
          <w:noProof/>
          <w:color w:val="000000"/>
        </w:rPr>
        <w:t xml:space="preserve">В целом </w:t>
      </w:r>
      <w:r>
        <w:rPr>
          <w:noProof/>
          <w:color w:val="000000"/>
        </w:rPr>
        <w:t>профиль</w:t>
      </w:r>
      <w:r w:rsidRPr="009F2708">
        <w:rPr>
          <w:noProof/>
          <w:color w:val="000000"/>
        </w:rPr>
        <w:t xml:space="preserve"> эффективности препарата Перьета</w:t>
      </w:r>
      <w:r w:rsidRPr="00C64BA7">
        <w:rPr>
          <w:noProof/>
          <w:color w:val="000000"/>
          <w:vertAlign w:val="superscript"/>
        </w:rPr>
        <w:t>®</w:t>
      </w:r>
      <w:r w:rsidRPr="009F2708">
        <w:rPr>
          <w:noProof/>
          <w:color w:val="000000"/>
        </w:rPr>
        <w:t xml:space="preserve"> у пациентов ≥65 и &lt;65 лет </w:t>
      </w:r>
      <w:r>
        <w:rPr>
          <w:noProof/>
          <w:color w:val="000000"/>
        </w:rPr>
        <w:t>не отличался</w:t>
      </w:r>
      <w:r w:rsidRPr="009F2708">
        <w:rPr>
          <w:noProof/>
          <w:color w:val="000000"/>
        </w:rPr>
        <w:t xml:space="preserve">. </w:t>
      </w:r>
      <w:r w:rsidR="00776A8F">
        <w:rPr>
          <w:noProof/>
          <w:color w:val="000000"/>
        </w:rPr>
        <w:t>Частота развития следующих нежелательных явлений</w:t>
      </w:r>
      <w:r w:rsidR="00667672" w:rsidRPr="00667672">
        <w:rPr>
          <w:noProof/>
          <w:color w:val="000000"/>
        </w:rPr>
        <w:t xml:space="preserve"> </w:t>
      </w:r>
      <w:r w:rsidR="00667672">
        <w:rPr>
          <w:noProof/>
          <w:color w:val="000000"/>
        </w:rPr>
        <w:t>всех степеней тяжести</w:t>
      </w:r>
      <w:r w:rsidR="00D937BA">
        <w:rPr>
          <w:noProof/>
          <w:color w:val="000000"/>
        </w:rPr>
        <w:t>, а именно</w:t>
      </w:r>
      <w:r w:rsidR="00191FEE">
        <w:rPr>
          <w:noProof/>
          <w:color w:val="000000"/>
        </w:rPr>
        <w:t>:</w:t>
      </w:r>
      <w:r w:rsidR="00776A8F">
        <w:rPr>
          <w:noProof/>
          <w:color w:val="000000"/>
        </w:rPr>
        <w:t xml:space="preserve"> </w:t>
      </w:r>
      <w:r w:rsidR="00961C67">
        <w:rPr>
          <w:noProof/>
          <w:color w:val="000000"/>
        </w:rPr>
        <w:t>снижени</w:t>
      </w:r>
      <w:r w:rsidR="00667672">
        <w:rPr>
          <w:noProof/>
          <w:color w:val="000000"/>
        </w:rPr>
        <w:t>е</w:t>
      </w:r>
      <w:r w:rsidR="00961C67">
        <w:rPr>
          <w:noProof/>
          <w:color w:val="000000"/>
        </w:rPr>
        <w:t xml:space="preserve"> аппетита, анеми</w:t>
      </w:r>
      <w:r w:rsidR="00667672">
        <w:rPr>
          <w:noProof/>
          <w:color w:val="000000"/>
        </w:rPr>
        <w:t>я</w:t>
      </w:r>
      <w:r w:rsidR="00961C67">
        <w:rPr>
          <w:noProof/>
          <w:color w:val="000000"/>
        </w:rPr>
        <w:t>, уменьшени</w:t>
      </w:r>
      <w:r w:rsidR="00667672">
        <w:rPr>
          <w:noProof/>
          <w:color w:val="000000"/>
        </w:rPr>
        <w:t>е</w:t>
      </w:r>
      <w:r w:rsidR="00961C67">
        <w:rPr>
          <w:noProof/>
          <w:color w:val="000000"/>
        </w:rPr>
        <w:t xml:space="preserve"> массы тела, астени</w:t>
      </w:r>
      <w:r w:rsidR="00667672">
        <w:rPr>
          <w:noProof/>
          <w:color w:val="000000"/>
        </w:rPr>
        <w:t>я</w:t>
      </w:r>
      <w:r w:rsidR="00961C67">
        <w:rPr>
          <w:noProof/>
          <w:color w:val="000000"/>
        </w:rPr>
        <w:t>, дисгевз</w:t>
      </w:r>
      <w:r w:rsidR="00D937BA">
        <w:rPr>
          <w:noProof/>
          <w:color w:val="000000"/>
        </w:rPr>
        <w:t>и</w:t>
      </w:r>
      <w:r w:rsidR="00667672">
        <w:rPr>
          <w:noProof/>
          <w:color w:val="000000"/>
        </w:rPr>
        <w:t>я</w:t>
      </w:r>
      <w:r w:rsidR="00961C67">
        <w:rPr>
          <w:noProof/>
          <w:color w:val="000000"/>
        </w:rPr>
        <w:t>, периферическая нейропатия, гипомагниемия и диарея</w:t>
      </w:r>
      <w:r w:rsidR="00667672">
        <w:rPr>
          <w:noProof/>
          <w:color w:val="000000"/>
        </w:rPr>
        <w:t>,</w:t>
      </w:r>
      <w:r w:rsidR="00961C67">
        <w:rPr>
          <w:noProof/>
          <w:color w:val="000000"/>
        </w:rPr>
        <w:t xml:space="preserve"> </w:t>
      </w:r>
      <w:r w:rsidR="00776A8F">
        <w:rPr>
          <w:noProof/>
          <w:color w:val="000000"/>
        </w:rPr>
        <w:t xml:space="preserve">была, как минимум, на 5% выше у пациентов </w:t>
      </w:r>
      <w:r w:rsidR="00776A8F" w:rsidRPr="009F2708">
        <w:rPr>
          <w:noProof/>
          <w:color w:val="000000"/>
        </w:rPr>
        <w:t>≥65</w:t>
      </w:r>
      <w:r w:rsidR="00776A8F">
        <w:rPr>
          <w:noProof/>
          <w:color w:val="000000"/>
        </w:rPr>
        <w:t xml:space="preserve"> лет по сравнению с пациентами </w:t>
      </w:r>
      <w:r w:rsidR="00CD5C45" w:rsidRPr="009F2708">
        <w:rPr>
          <w:noProof/>
          <w:color w:val="000000"/>
        </w:rPr>
        <w:t>&lt;</w:t>
      </w:r>
      <w:r w:rsidR="00776A8F" w:rsidRPr="009F2708">
        <w:rPr>
          <w:noProof/>
          <w:color w:val="000000"/>
        </w:rPr>
        <w:t>65 лет</w:t>
      </w:r>
      <w:r w:rsidR="003525D5" w:rsidRPr="005A0011">
        <w:rPr>
          <w:noProof/>
          <w:color w:val="000000"/>
        </w:rPr>
        <w:t xml:space="preserve"> (</w:t>
      </w:r>
      <w:r w:rsidR="003525D5">
        <w:rPr>
          <w:noProof/>
          <w:color w:val="000000"/>
        </w:rPr>
        <w:t>см. раздел «Способ применения и дозы»)</w:t>
      </w:r>
      <w:r w:rsidR="00776A8F">
        <w:rPr>
          <w:noProof/>
          <w:color w:val="000000"/>
        </w:rPr>
        <w:t>.</w:t>
      </w:r>
    </w:p>
    <w:p w14:paraId="0A2D65B1" w14:textId="3072682B" w:rsidR="009702E0" w:rsidRPr="00072A6D" w:rsidRDefault="009702E0" w:rsidP="00C957E2">
      <w:pPr>
        <w:suppressLineNumbers/>
        <w:spacing w:line="360" w:lineRule="auto"/>
        <w:rPr>
          <w:i/>
          <w:noProof/>
          <w:color w:val="000000"/>
        </w:rPr>
      </w:pPr>
      <w:r w:rsidRPr="00DD31F9">
        <w:rPr>
          <w:i/>
          <w:noProof/>
          <w:color w:val="000000"/>
        </w:rPr>
        <w:t>Обращение с неиспользованным препаратом</w:t>
      </w:r>
      <w:r w:rsidR="00072A6D" w:rsidRPr="009753E4">
        <w:rPr>
          <w:i/>
          <w:noProof/>
          <w:color w:val="000000"/>
        </w:rPr>
        <w:t>/</w:t>
      </w:r>
      <w:r w:rsidR="00072A6D">
        <w:rPr>
          <w:i/>
          <w:noProof/>
          <w:color w:val="000000"/>
        </w:rPr>
        <w:t>препаратом с истекшим сроком годности</w:t>
      </w:r>
    </w:p>
    <w:p w14:paraId="0996775D" w14:textId="6D3B930D" w:rsidR="00BB5278" w:rsidRPr="00A52148" w:rsidRDefault="00BB5278" w:rsidP="006B6B89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/>
          <w:bCs/>
          <w:kern w:val="36"/>
          <w:sz w:val="24"/>
          <w:lang w:val="ru-RU" w:eastAsia="ru-RU"/>
        </w:rPr>
      </w:pPr>
      <w:r w:rsidRPr="00A52148">
        <w:rPr>
          <w:rFonts w:ascii="Times New Roman" w:eastAsia="Times New Roman" w:hAnsi="Times New Roman"/>
          <w:bCs/>
          <w:kern w:val="36"/>
          <w:sz w:val="24"/>
          <w:lang w:val="ru-RU" w:eastAsia="ru-RU"/>
        </w:rPr>
        <w:t xml:space="preserve">Попадание лекарственного препарата в окружающую среду должно быть сведено к минимуму. Не следует утилизировать препарат с помощью сточных вод или вместе с бытовыми отходами. Уничтожение неиспользованного препарата или </w:t>
      </w:r>
      <w:r>
        <w:rPr>
          <w:rFonts w:ascii="Times New Roman" w:eastAsia="Times New Roman" w:hAnsi="Times New Roman"/>
          <w:bCs/>
          <w:kern w:val="36"/>
          <w:sz w:val="24"/>
          <w:lang w:val="ru-RU" w:eastAsia="ru-RU"/>
        </w:rPr>
        <w:t>расходных материалов</w:t>
      </w:r>
      <w:r w:rsidRPr="00A52148">
        <w:rPr>
          <w:rFonts w:ascii="Times New Roman" w:eastAsia="Times New Roman" w:hAnsi="Times New Roman"/>
          <w:bCs/>
          <w:kern w:val="36"/>
          <w:sz w:val="24"/>
          <w:lang w:val="ru-RU" w:eastAsia="ru-RU"/>
        </w:rPr>
        <w:t xml:space="preserve"> должно проводиться в соответствии с локальными требованиями.</w:t>
      </w:r>
    </w:p>
    <w:p w14:paraId="29CA66CD" w14:textId="77777777" w:rsidR="00BB41DA" w:rsidRPr="007A66BD" w:rsidRDefault="00BB41DA" w:rsidP="00C957E2">
      <w:pPr>
        <w:spacing w:line="360" w:lineRule="auto"/>
        <w:rPr>
          <w:b/>
        </w:rPr>
      </w:pPr>
    </w:p>
    <w:p w14:paraId="54D67DC5" w14:textId="538F2BC0" w:rsidR="008829D0" w:rsidRPr="00007C81" w:rsidRDefault="009D7CE5" w:rsidP="00C957E2">
      <w:pPr>
        <w:spacing w:line="360" w:lineRule="auto"/>
        <w:rPr>
          <w:b/>
        </w:rPr>
      </w:pPr>
      <w:r w:rsidRPr="00007C81">
        <w:rPr>
          <w:b/>
        </w:rPr>
        <w:t xml:space="preserve">Влияние на способность </w:t>
      </w:r>
      <w:r w:rsidR="00C51FDE">
        <w:rPr>
          <w:b/>
        </w:rPr>
        <w:t xml:space="preserve">управлять </w:t>
      </w:r>
      <w:r w:rsidR="00C51FDE" w:rsidRPr="00007C81">
        <w:rPr>
          <w:b/>
        </w:rPr>
        <w:t>транспортны</w:t>
      </w:r>
      <w:r w:rsidR="00C51FDE">
        <w:rPr>
          <w:b/>
        </w:rPr>
        <w:t>ми</w:t>
      </w:r>
      <w:r w:rsidR="00C51FDE" w:rsidRPr="00007C81">
        <w:rPr>
          <w:b/>
        </w:rPr>
        <w:t xml:space="preserve"> </w:t>
      </w:r>
      <w:r w:rsidRPr="00007C81">
        <w:rPr>
          <w:b/>
        </w:rPr>
        <w:t>средств</w:t>
      </w:r>
      <w:r w:rsidR="00C51FDE">
        <w:rPr>
          <w:b/>
        </w:rPr>
        <w:t xml:space="preserve">ами, </w:t>
      </w:r>
      <w:r w:rsidRPr="00007C81">
        <w:rPr>
          <w:b/>
        </w:rPr>
        <w:t>механизмами</w:t>
      </w:r>
    </w:p>
    <w:p w14:paraId="43A3CA5B" w14:textId="370C8C6A" w:rsidR="008829D0" w:rsidRPr="0072351F" w:rsidRDefault="0087056A" w:rsidP="00C957E2">
      <w:pPr>
        <w:suppressAutoHyphens/>
        <w:spacing w:line="360" w:lineRule="auto"/>
        <w:rPr>
          <w:bCs/>
        </w:rPr>
      </w:pPr>
      <w:proofErr w:type="spellStart"/>
      <w:r>
        <w:rPr>
          <w:bCs/>
        </w:rPr>
        <w:t>Перьета</w:t>
      </w:r>
      <w:proofErr w:type="spellEnd"/>
      <w:r w:rsidRPr="00C64BA7">
        <w:rPr>
          <w:noProof/>
          <w:color w:val="000000"/>
          <w:vertAlign w:val="superscript"/>
        </w:rPr>
        <w:t>®</w:t>
      </w:r>
      <w:r>
        <w:rPr>
          <w:bCs/>
        </w:rPr>
        <w:t xml:space="preserve"> оказывает </w:t>
      </w:r>
      <w:r w:rsidR="00ED157C">
        <w:rPr>
          <w:bCs/>
        </w:rPr>
        <w:t>небольшое</w:t>
      </w:r>
      <w:r>
        <w:rPr>
          <w:bCs/>
        </w:rPr>
        <w:t xml:space="preserve"> влияние на способность </w:t>
      </w:r>
      <w:r w:rsidR="00C51FDE">
        <w:rPr>
          <w:bCs/>
        </w:rPr>
        <w:t xml:space="preserve">управлять транспортными средствами или работать с другими </w:t>
      </w:r>
      <w:r>
        <w:rPr>
          <w:bCs/>
        </w:rPr>
        <w:t xml:space="preserve">механизмами. </w:t>
      </w:r>
      <w:r w:rsidR="00C51FDE">
        <w:rPr>
          <w:bCs/>
        </w:rPr>
        <w:t>Однако некоторые нежелательные реакции (</w:t>
      </w:r>
      <w:r w:rsidR="00D06434">
        <w:rPr>
          <w:bCs/>
        </w:rPr>
        <w:t xml:space="preserve">такие как нейропатия, головокружение и прочие (см. раздел «Побочное </w:t>
      </w:r>
      <w:r w:rsidR="000D402B">
        <w:rPr>
          <w:bCs/>
        </w:rPr>
        <w:t>д</w:t>
      </w:r>
      <w:r w:rsidR="00D06434">
        <w:rPr>
          <w:bCs/>
        </w:rPr>
        <w:t>ействие»)</w:t>
      </w:r>
      <w:r w:rsidR="00291FDE" w:rsidRPr="005A0011">
        <w:rPr>
          <w:bCs/>
        </w:rPr>
        <w:t>)</w:t>
      </w:r>
      <w:r w:rsidR="00D06434">
        <w:rPr>
          <w:bCs/>
        </w:rPr>
        <w:t xml:space="preserve"> могут оказывать негативное влияние на способность управлять транспортными средствами или работать с механизмами. Пациентам, у которых отмечаются данные нежелательные реакции, рекомендовано воздержаться от управления транспортными средствами или работы с другими механизмами до полного исчезновения данных симптомов. </w:t>
      </w:r>
    </w:p>
    <w:p w14:paraId="7D96CC16" w14:textId="77777777" w:rsidR="002F3E52" w:rsidRPr="00007C81" w:rsidRDefault="002F3E52" w:rsidP="00C957E2">
      <w:pPr>
        <w:suppressAutoHyphens/>
        <w:spacing w:line="360" w:lineRule="auto"/>
        <w:rPr>
          <w:b/>
          <w:bCs/>
        </w:rPr>
      </w:pPr>
    </w:p>
    <w:p w14:paraId="1D206FB1" w14:textId="056E2392" w:rsidR="008829D0" w:rsidRPr="007A66BD" w:rsidRDefault="008829D0" w:rsidP="00C957E2">
      <w:pPr>
        <w:suppressAutoHyphens/>
        <w:spacing w:line="360" w:lineRule="auto"/>
        <w:rPr>
          <w:b/>
          <w:bCs/>
        </w:rPr>
      </w:pPr>
      <w:r w:rsidRPr="007A66BD">
        <w:rPr>
          <w:b/>
          <w:bCs/>
        </w:rPr>
        <w:t xml:space="preserve">Форма выпуска </w:t>
      </w:r>
    </w:p>
    <w:p w14:paraId="00698AFC" w14:textId="77777777" w:rsidR="008829D0" w:rsidRPr="00C61CF9" w:rsidRDefault="00C61CF9" w:rsidP="00C957E2">
      <w:pPr>
        <w:spacing w:line="360" w:lineRule="auto"/>
        <w:rPr>
          <w:u w:val="single"/>
        </w:rPr>
      </w:pPr>
      <w:r w:rsidRPr="00C61CF9">
        <w:rPr>
          <w:u w:val="single"/>
        </w:rPr>
        <w:lastRenderedPageBreak/>
        <w:t>Концентрат для приготовления раствора для инфузий 420 мг/14 мл</w:t>
      </w:r>
    </w:p>
    <w:p w14:paraId="6C058311" w14:textId="564FD00C" w:rsidR="00C61CF9" w:rsidRDefault="00C61CF9" w:rsidP="00C957E2">
      <w:pPr>
        <w:spacing w:line="360" w:lineRule="auto"/>
      </w:pPr>
      <w:r>
        <w:t>По 420 мг/14 мл препарата во флакон бесцветного стекла (гидролитический класс 1 ЕФ)</w:t>
      </w:r>
      <w:r w:rsidR="008F050C">
        <w:t>, укупоренный пробкой из бутилкаучука, ламинированного фторполимером, обжатый алюминиевым колпачком и закрытый пластмассовой крышкой</w:t>
      </w:r>
      <w:r w:rsidR="00284DD8">
        <w:t xml:space="preserve"> коричневого цвета</w:t>
      </w:r>
      <w:r w:rsidR="008F050C">
        <w:t>. 1 флакон с препаратом вместе с инструкцией по применению помещают в картонную пачку.</w:t>
      </w:r>
    </w:p>
    <w:p w14:paraId="7E40C120" w14:textId="77777777" w:rsidR="00AA7452" w:rsidRPr="00AA7452" w:rsidRDefault="00AA7452" w:rsidP="00AA7452">
      <w:pPr>
        <w:spacing w:line="360" w:lineRule="auto"/>
      </w:pPr>
      <w:r w:rsidRPr="00AA7452">
        <w:t>С целью контроля первого вскрытия на пачку наносится защитная голографическая наклейка.</w:t>
      </w:r>
    </w:p>
    <w:p w14:paraId="4EED3B85" w14:textId="153DF08C" w:rsidR="00AA7452" w:rsidRDefault="00AA7452" w:rsidP="00AA7452">
      <w:pPr>
        <w:spacing w:line="360" w:lineRule="auto"/>
      </w:pPr>
      <w:r w:rsidRPr="00AA7452">
        <w:rPr>
          <w:i/>
        </w:rPr>
        <w:t>В случае упаковки на АО «ОРТАТ»:</w:t>
      </w:r>
      <w:r w:rsidRPr="00AA7452">
        <w:t xml:space="preserve"> с целью контроля первого вскрытия на пачку наклеивают самоклеящиеся стикеры с логотипом АО «ОРТАТ».</w:t>
      </w:r>
    </w:p>
    <w:p w14:paraId="485E853B" w14:textId="77777777" w:rsidR="003E5DC1" w:rsidRDefault="003E5DC1" w:rsidP="00C957E2">
      <w:pPr>
        <w:spacing w:line="360" w:lineRule="auto"/>
      </w:pPr>
    </w:p>
    <w:p w14:paraId="2B73D513" w14:textId="77777777" w:rsidR="003E5DC1" w:rsidRPr="008F050C" w:rsidRDefault="003E5DC1" w:rsidP="003E5D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ja-JP"/>
        </w:rPr>
      </w:pPr>
      <w:r w:rsidRPr="008F050C">
        <w:rPr>
          <w:b/>
          <w:lang w:eastAsia="ja-JP"/>
        </w:rPr>
        <w:t xml:space="preserve">Условия хранения </w:t>
      </w:r>
    </w:p>
    <w:p w14:paraId="15C1F519" w14:textId="1C5DADCD" w:rsidR="003E5DC1" w:rsidRPr="008F050C" w:rsidRDefault="003E5DC1" w:rsidP="003E5D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 w:rsidRPr="008F050C">
        <w:rPr>
          <w:lang w:eastAsia="ja-JP"/>
        </w:rPr>
        <w:t>Хранить при температуре 2-8</w:t>
      </w:r>
      <w:r w:rsidR="00237399">
        <w:rPr>
          <w:lang w:eastAsia="ja-JP"/>
        </w:rPr>
        <w:t xml:space="preserve"> </w:t>
      </w:r>
      <w:r w:rsidRPr="008F050C">
        <w:rPr>
          <w:lang w:eastAsia="ja-JP"/>
        </w:rPr>
        <w:t xml:space="preserve">°С в защищенном от света месте. </w:t>
      </w:r>
    </w:p>
    <w:p w14:paraId="4CE48697" w14:textId="77777777" w:rsidR="003E5DC1" w:rsidRPr="008F050C" w:rsidRDefault="003E5DC1" w:rsidP="003E5DC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ja-JP"/>
        </w:rPr>
      </w:pPr>
      <w:r w:rsidRPr="008F050C">
        <w:rPr>
          <w:lang w:eastAsia="ja-JP"/>
        </w:rPr>
        <w:t>Хранить в недоступном для детей месте.</w:t>
      </w:r>
    </w:p>
    <w:p w14:paraId="2A8212BF" w14:textId="77777777" w:rsidR="00C61CF9" w:rsidRPr="00C61CF9" w:rsidRDefault="00C61CF9" w:rsidP="00C957E2">
      <w:pPr>
        <w:spacing w:line="360" w:lineRule="auto"/>
      </w:pPr>
    </w:p>
    <w:p w14:paraId="5B15FD15" w14:textId="77777777" w:rsidR="008F050C" w:rsidRPr="008F050C" w:rsidRDefault="008F050C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 CYR" w:hAnsi="Times New Roman CYR"/>
          <w:b/>
          <w:szCs w:val="20"/>
          <w:lang w:eastAsia="ja-JP"/>
        </w:rPr>
      </w:pPr>
      <w:r w:rsidRPr="008F050C">
        <w:rPr>
          <w:rFonts w:ascii="Times New Roman CYR" w:hAnsi="Times New Roman CYR"/>
          <w:b/>
          <w:szCs w:val="20"/>
          <w:lang w:eastAsia="ja-JP"/>
        </w:rPr>
        <w:t>Срок годности</w:t>
      </w:r>
    </w:p>
    <w:p w14:paraId="759AE458" w14:textId="77777777" w:rsidR="008F050C" w:rsidRPr="008F050C" w:rsidRDefault="00F700A8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 w:rsidRPr="00936B20">
        <w:rPr>
          <w:rFonts w:ascii="Times New Roman CYR" w:hAnsi="Times New Roman CYR"/>
          <w:szCs w:val="20"/>
          <w:lang w:eastAsia="ja-JP"/>
        </w:rPr>
        <w:t>2</w:t>
      </w:r>
      <w:r w:rsidR="008F050C" w:rsidRPr="008F050C">
        <w:rPr>
          <w:rFonts w:ascii="Times New Roman CYR" w:hAnsi="Times New Roman CYR"/>
          <w:szCs w:val="20"/>
          <w:lang w:eastAsia="ja-JP"/>
        </w:rPr>
        <w:t xml:space="preserve"> года.</w:t>
      </w:r>
      <w:r w:rsidR="008F050C" w:rsidRPr="008F050C">
        <w:rPr>
          <w:lang w:eastAsia="ja-JP"/>
        </w:rPr>
        <w:t xml:space="preserve"> </w:t>
      </w:r>
    </w:p>
    <w:p w14:paraId="227CEB2F" w14:textId="4E1D0B53" w:rsidR="008F050C" w:rsidRDefault="008F050C" w:rsidP="005A001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</w:rPr>
      </w:pPr>
      <w:r w:rsidRPr="008F050C">
        <w:rPr>
          <w:rFonts w:ascii="Times New Roman CYR" w:hAnsi="Times New Roman CYR"/>
          <w:szCs w:val="20"/>
          <w:lang w:eastAsia="ja-JP"/>
        </w:rPr>
        <w:t xml:space="preserve">Не </w:t>
      </w:r>
      <w:r w:rsidR="003E5DC1">
        <w:rPr>
          <w:rFonts w:ascii="Times New Roman CYR" w:hAnsi="Times New Roman CYR"/>
          <w:szCs w:val="20"/>
          <w:lang w:eastAsia="ja-JP"/>
        </w:rPr>
        <w:t>применять</w:t>
      </w:r>
      <w:r w:rsidR="003E5DC1" w:rsidRPr="008F050C">
        <w:rPr>
          <w:rFonts w:ascii="Times New Roman CYR" w:hAnsi="Times New Roman CYR"/>
          <w:szCs w:val="20"/>
          <w:lang w:eastAsia="ja-JP"/>
        </w:rPr>
        <w:t xml:space="preserve"> </w:t>
      </w:r>
      <w:r w:rsidRPr="008F050C">
        <w:rPr>
          <w:rFonts w:ascii="Times New Roman CYR" w:hAnsi="Times New Roman CYR"/>
          <w:szCs w:val="20"/>
          <w:lang w:eastAsia="ja-JP"/>
        </w:rPr>
        <w:t>по истечении срока годности, указанного на упаковке.</w:t>
      </w:r>
    </w:p>
    <w:p w14:paraId="0058CAD8" w14:textId="77777777" w:rsidR="008F050C" w:rsidRPr="008F050C" w:rsidRDefault="008F050C" w:rsidP="00C957E2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lang w:eastAsia="ja-JP"/>
        </w:rPr>
      </w:pPr>
    </w:p>
    <w:p w14:paraId="696A6375" w14:textId="2D52471F" w:rsidR="008F050C" w:rsidRPr="00A573EB" w:rsidRDefault="003270B3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ja-JP"/>
        </w:rPr>
      </w:pPr>
      <w:r>
        <w:rPr>
          <w:b/>
          <w:lang w:eastAsia="ja-JP"/>
        </w:rPr>
        <w:t>Условия отпуска</w:t>
      </w:r>
    </w:p>
    <w:p w14:paraId="3176790A" w14:textId="6C3B3F65" w:rsidR="008F050C" w:rsidRPr="008F050C" w:rsidRDefault="003E5DC1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  <w:r>
        <w:rPr>
          <w:lang w:eastAsia="ja-JP"/>
        </w:rPr>
        <w:t>Отпускают п</w:t>
      </w:r>
      <w:r w:rsidR="008F050C" w:rsidRPr="008F050C">
        <w:rPr>
          <w:lang w:eastAsia="ja-JP"/>
        </w:rPr>
        <w:t>о рецепту.</w:t>
      </w:r>
    </w:p>
    <w:p w14:paraId="290E4E53" w14:textId="77777777" w:rsidR="008F050C" w:rsidRPr="008F050C" w:rsidRDefault="008F050C" w:rsidP="00C957E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ja-JP"/>
        </w:rPr>
      </w:pPr>
    </w:p>
    <w:p w14:paraId="24DF89E4" w14:textId="77777777" w:rsidR="008F050C" w:rsidRPr="003270B3" w:rsidRDefault="008F050C" w:rsidP="003270B3">
      <w:pPr>
        <w:spacing w:line="360" w:lineRule="auto"/>
        <w:rPr>
          <w:b/>
          <w:lang w:eastAsia="ja-JP"/>
        </w:rPr>
      </w:pPr>
      <w:r w:rsidRPr="003270B3">
        <w:rPr>
          <w:b/>
          <w:lang w:eastAsia="ja-JP"/>
        </w:rPr>
        <w:t>Владелец Регистрационного удостоверения</w:t>
      </w:r>
      <w:r w:rsidRPr="003270B3">
        <w:rPr>
          <w:b/>
          <w:lang w:eastAsia="ja-JP"/>
        </w:rPr>
        <w:tab/>
      </w:r>
    </w:p>
    <w:p w14:paraId="2EB9AB19" w14:textId="77777777" w:rsidR="008F050C" w:rsidRPr="008F050C" w:rsidRDefault="008F050C" w:rsidP="003270B3">
      <w:pPr>
        <w:spacing w:line="360" w:lineRule="auto"/>
        <w:rPr>
          <w:color w:val="000000"/>
          <w:lang w:eastAsia="ja-JP"/>
        </w:rPr>
      </w:pPr>
      <w:r w:rsidRPr="008F050C">
        <w:rPr>
          <w:color w:val="000000"/>
          <w:lang w:eastAsia="ja-JP"/>
        </w:rPr>
        <w:t>Ф. Хоффманн-Ля Рош Лтд.</w:t>
      </w:r>
      <w:r w:rsidRPr="008F050C">
        <w:rPr>
          <w:lang w:eastAsia="ja-JP"/>
        </w:rPr>
        <w:t>, Швейцария</w:t>
      </w:r>
    </w:p>
    <w:p w14:paraId="23E5AB8F" w14:textId="77777777" w:rsidR="008F050C" w:rsidRPr="008F050C" w:rsidRDefault="008F050C" w:rsidP="003270B3">
      <w:pPr>
        <w:spacing w:line="360" w:lineRule="auto"/>
        <w:rPr>
          <w:lang w:val="de-DE" w:eastAsia="ja-JP"/>
        </w:rPr>
      </w:pPr>
      <w:r w:rsidRPr="008F050C">
        <w:rPr>
          <w:lang w:val="de-DE" w:eastAsia="ja-JP"/>
        </w:rPr>
        <w:t>F. Hoffmann-La Roche Ltd, Grenzacherstrasse 124, 4070 Basel, Switzerland</w:t>
      </w:r>
    </w:p>
    <w:p w14:paraId="3CF35FBF" w14:textId="77777777" w:rsidR="008F050C" w:rsidRPr="008F050C" w:rsidRDefault="008F050C" w:rsidP="003270B3">
      <w:pPr>
        <w:spacing w:line="360" w:lineRule="auto"/>
        <w:rPr>
          <w:color w:val="000000"/>
          <w:lang w:val="de-DE" w:eastAsia="ja-JP"/>
        </w:rPr>
      </w:pPr>
    </w:p>
    <w:p w14:paraId="5FACF136" w14:textId="77777777" w:rsidR="008F050C" w:rsidRPr="003270B3" w:rsidRDefault="008F050C" w:rsidP="003270B3">
      <w:pPr>
        <w:spacing w:line="360" w:lineRule="auto"/>
        <w:rPr>
          <w:b/>
          <w:lang w:val="de-DE" w:eastAsia="ja-JP"/>
        </w:rPr>
      </w:pPr>
      <w:r w:rsidRPr="003270B3">
        <w:rPr>
          <w:b/>
          <w:lang w:eastAsia="ja-JP"/>
        </w:rPr>
        <w:t>Производитель</w:t>
      </w:r>
    </w:p>
    <w:p w14:paraId="08AE81C2" w14:textId="77777777" w:rsidR="008F050C" w:rsidRPr="00C24B86" w:rsidRDefault="008F050C" w:rsidP="003270B3">
      <w:pPr>
        <w:spacing w:line="360" w:lineRule="auto"/>
        <w:rPr>
          <w:color w:val="000000"/>
          <w:lang w:val="de-DE" w:eastAsia="ja-JP"/>
        </w:rPr>
      </w:pPr>
      <w:r w:rsidRPr="008F050C">
        <w:rPr>
          <w:lang w:eastAsia="ja-JP"/>
        </w:rPr>
        <w:t>Рош</w:t>
      </w:r>
      <w:r w:rsidRPr="00C24B86">
        <w:rPr>
          <w:lang w:val="de-DE" w:eastAsia="ja-JP"/>
        </w:rPr>
        <w:t xml:space="preserve"> </w:t>
      </w:r>
      <w:r w:rsidRPr="008F050C">
        <w:rPr>
          <w:lang w:eastAsia="ja-JP"/>
        </w:rPr>
        <w:t>Диагностикс</w:t>
      </w:r>
      <w:r w:rsidRPr="00C24B86">
        <w:rPr>
          <w:lang w:val="de-DE" w:eastAsia="ja-JP"/>
        </w:rPr>
        <w:t xml:space="preserve"> </w:t>
      </w:r>
      <w:r w:rsidRPr="008F050C">
        <w:rPr>
          <w:lang w:eastAsia="ja-JP"/>
        </w:rPr>
        <w:t>ГмбХ</w:t>
      </w:r>
      <w:r w:rsidRPr="00C24B86">
        <w:rPr>
          <w:color w:val="000000"/>
          <w:lang w:val="de-DE" w:eastAsia="ja-JP"/>
        </w:rPr>
        <w:t xml:space="preserve">, </w:t>
      </w:r>
      <w:r w:rsidRPr="008F050C">
        <w:rPr>
          <w:color w:val="000000"/>
          <w:lang w:eastAsia="ja-JP"/>
        </w:rPr>
        <w:t>Германия</w:t>
      </w:r>
    </w:p>
    <w:p w14:paraId="29B49A7D" w14:textId="765BB913" w:rsidR="008F050C" w:rsidRDefault="008F050C" w:rsidP="003270B3">
      <w:pPr>
        <w:spacing w:line="360" w:lineRule="auto"/>
        <w:rPr>
          <w:color w:val="000000"/>
          <w:lang w:val="de-DE" w:eastAsia="ja-JP"/>
        </w:rPr>
      </w:pPr>
      <w:r w:rsidRPr="008F050C">
        <w:rPr>
          <w:color w:val="000000"/>
          <w:lang w:val="de-DE" w:eastAsia="ja-JP"/>
        </w:rPr>
        <w:t>Roche Diagnostics GmbH, Sandhofer Strasse 116, 68305 Mannheim, Germany</w:t>
      </w:r>
    </w:p>
    <w:p w14:paraId="37D81453" w14:textId="77777777" w:rsidR="00237399" w:rsidRDefault="00237399" w:rsidP="003270B3">
      <w:pPr>
        <w:spacing w:line="360" w:lineRule="auto"/>
        <w:rPr>
          <w:color w:val="000000"/>
          <w:lang w:val="de-DE" w:eastAsia="ja-JP"/>
        </w:rPr>
      </w:pPr>
    </w:p>
    <w:p w14:paraId="6CCDFC68" w14:textId="3909DF04" w:rsidR="003241CC" w:rsidRPr="00237399" w:rsidRDefault="003241CC" w:rsidP="003270B3">
      <w:pPr>
        <w:spacing w:line="360" w:lineRule="auto"/>
        <w:rPr>
          <w:b/>
        </w:rPr>
      </w:pPr>
      <w:r w:rsidRPr="00237399">
        <w:rPr>
          <w:b/>
        </w:rPr>
        <w:t>Фасовщик (первичная упаковка)</w:t>
      </w:r>
    </w:p>
    <w:p w14:paraId="35591C4A" w14:textId="77777777" w:rsidR="003241CC" w:rsidRPr="00A942F6" w:rsidRDefault="003241CC" w:rsidP="003270B3">
      <w:pPr>
        <w:spacing w:line="360" w:lineRule="auto"/>
      </w:pPr>
      <w:r w:rsidRPr="003241CC">
        <w:t>Рош</w:t>
      </w:r>
      <w:r w:rsidRPr="00A942F6">
        <w:t xml:space="preserve"> </w:t>
      </w:r>
      <w:r w:rsidRPr="003241CC">
        <w:t>Диагностикс</w:t>
      </w:r>
      <w:r w:rsidRPr="00A942F6">
        <w:t xml:space="preserve"> </w:t>
      </w:r>
      <w:r w:rsidRPr="003241CC">
        <w:t>ГмбХ</w:t>
      </w:r>
      <w:r w:rsidRPr="00A942F6">
        <w:t xml:space="preserve">, </w:t>
      </w:r>
      <w:r w:rsidRPr="003241CC">
        <w:t>Германия</w:t>
      </w:r>
    </w:p>
    <w:p w14:paraId="369F1C20" w14:textId="7AFA8539" w:rsidR="003241CC" w:rsidRDefault="003241CC" w:rsidP="003270B3">
      <w:pPr>
        <w:spacing w:line="360" w:lineRule="auto"/>
        <w:rPr>
          <w:lang w:val="de-DE"/>
        </w:rPr>
      </w:pPr>
      <w:r w:rsidRPr="003241CC">
        <w:rPr>
          <w:lang w:val="de-DE"/>
        </w:rPr>
        <w:t>Roche</w:t>
      </w:r>
      <w:r w:rsidRPr="005C5C1E">
        <w:rPr>
          <w:lang w:val="de-DE"/>
        </w:rPr>
        <w:t xml:space="preserve"> </w:t>
      </w:r>
      <w:r w:rsidRPr="003241CC">
        <w:rPr>
          <w:lang w:val="de-DE"/>
        </w:rPr>
        <w:t>Diagnostics</w:t>
      </w:r>
      <w:r w:rsidRPr="005C5C1E">
        <w:rPr>
          <w:lang w:val="de-DE"/>
        </w:rPr>
        <w:t xml:space="preserve"> </w:t>
      </w:r>
      <w:r w:rsidRPr="003241CC">
        <w:rPr>
          <w:lang w:val="de-DE"/>
        </w:rPr>
        <w:t>GmbH</w:t>
      </w:r>
      <w:r w:rsidRPr="005C5C1E">
        <w:rPr>
          <w:lang w:val="de-DE"/>
        </w:rPr>
        <w:t xml:space="preserve">, </w:t>
      </w:r>
      <w:r w:rsidRPr="003241CC">
        <w:rPr>
          <w:lang w:val="de-DE"/>
        </w:rPr>
        <w:t>Sandhofer</w:t>
      </w:r>
      <w:r w:rsidRPr="005C5C1E">
        <w:rPr>
          <w:lang w:val="de-DE"/>
        </w:rPr>
        <w:t xml:space="preserve"> </w:t>
      </w:r>
      <w:r w:rsidRPr="003241CC">
        <w:rPr>
          <w:lang w:val="de-DE"/>
        </w:rPr>
        <w:t>Strasse</w:t>
      </w:r>
      <w:r w:rsidRPr="005C5C1E">
        <w:rPr>
          <w:lang w:val="de-DE"/>
        </w:rPr>
        <w:t xml:space="preserve"> 116, 68305 </w:t>
      </w:r>
      <w:r w:rsidRPr="003241CC">
        <w:rPr>
          <w:lang w:val="de-DE"/>
        </w:rPr>
        <w:t>Mannheim</w:t>
      </w:r>
      <w:r w:rsidRPr="005C5C1E">
        <w:rPr>
          <w:lang w:val="de-DE"/>
        </w:rPr>
        <w:t xml:space="preserve">, </w:t>
      </w:r>
      <w:r w:rsidRPr="003241CC">
        <w:rPr>
          <w:lang w:val="de-DE"/>
        </w:rPr>
        <w:t>Germany</w:t>
      </w:r>
    </w:p>
    <w:p w14:paraId="77D5D71C" w14:textId="77777777" w:rsidR="00237399" w:rsidRPr="005C5C1E" w:rsidRDefault="00237399" w:rsidP="003270B3">
      <w:pPr>
        <w:spacing w:line="360" w:lineRule="auto"/>
        <w:rPr>
          <w:lang w:val="de-DE"/>
        </w:rPr>
      </w:pPr>
    </w:p>
    <w:p w14:paraId="49CA6001" w14:textId="77777777" w:rsidR="003241CC" w:rsidRPr="00237399" w:rsidRDefault="003241CC" w:rsidP="003270B3">
      <w:pPr>
        <w:spacing w:line="360" w:lineRule="auto"/>
        <w:rPr>
          <w:b/>
          <w:lang w:eastAsia="ja-JP"/>
        </w:rPr>
      </w:pPr>
      <w:r w:rsidRPr="00237399">
        <w:rPr>
          <w:b/>
          <w:lang w:eastAsia="ja-JP"/>
        </w:rPr>
        <w:t>Упаковщик (вторичная/потребительская упаковка)</w:t>
      </w:r>
    </w:p>
    <w:p w14:paraId="0223A218" w14:textId="77777777" w:rsidR="003241CC" w:rsidRPr="003241CC" w:rsidRDefault="003241CC" w:rsidP="003270B3">
      <w:pPr>
        <w:spacing w:line="360" w:lineRule="auto"/>
        <w:rPr>
          <w:lang w:eastAsia="ja-JP"/>
        </w:rPr>
      </w:pPr>
      <w:r w:rsidRPr="003241CC">
        <w:rPr>
          <w:lang w:eastAsia="ja-JP"/>
        </w:rPr>
        <w:t>Ф. Хоффманн-Ля Рош Лтд., Швейцария</w:t>
      </w:r>
    </w:p>
    <w:p w14:paraId="200C5BA2" w14:textId="77777777" w:rsidR="003270B3" w:rsidRPr="00A942F6" w:rsidRDefault="003241CC" w:rsidP="003270B3">
      <w:pPr>
        <w:spacing w:line="360" w:lineRule="auto"/>
        <w:rPr>
          <w:lang w:val="de-DE" w:eastAsia="ja-JP"/>
        </w:rPr>
      </w:pPr>
      <w:r w:rsidRPr="003241CC">
        <w:rPr>
          <w:lang w:val="de-DE" w:eastAsia="ja-JP"/>
        </w:rPr>
        <w:lastRenderedPageBreak/>
        <w:t>F. Hoffmann-La Roche Ltd, Wurmisweg, 4303 Kaiseraugst, Switzerland</w:t>
      </w:r>
    </w:p>
    <w:p w14:paraId="40AD5372" w14:textId="77777777" w:rsidR="006B6B89" w:rsidRPr="00A942F6" w:rsidRDefault="006B6B89" w:rsidP="003270B3">
      <w:pPr>
        <w:spacing w:line="360" w:lineRule="auto"/>
        <w:rPr>
          <w:lang w:val="de-DE" w:eastAsia="ja-JP"/>
        </w:rPr>
      </w:pPr>
    </w:p>
    <w:p w14:paraId="06D64C0A" w14:textId="15241CA9" w:rsidR="003270B3" w:rsidRPr="00A573EB" w:rsidRDefault="003270B3" w:rsidP="003270B3">
      <w:pPr>
        <w:spacing w:line="360" w:lineRule="auto"/>
        <w:rPr>
          <w:lang w:eastAsia="ja-JP"/>
        </w:rPr>
      </w:pPr>
      <w:r w:rsidRPr="003241CC">
        <w:rPr>
          <w:lang w:eastAsia="ja-JP"/>
        </w:rPr>
        <w:t>АО «ОРТАТ», Россия</w:t>
      </w:r>
    </w:p>
    <w:p w14:paraId="7C910140" w14:textId="43A1F7A4" w:rsidR="003241CC" w:rsidRDefault="003270B3" w:rsidP="003270B3">
      <w:pPr>
        <w:spacing w:line="360" w:lineRule="auto"/>
        <w:rPr>
          <w:lang w:eastAsia="ja-JP"/>
        </w:rPr>
      </w:pPr>
      <w:r w:rsidRPr="00A950F5">
        <w:rPr>
          <w:lang w:eastAsia="ja-JP"/>
        </w:rPr>
        <w:t xml:space="preserve">157092, Россия, Костромская обл., </w:t>
      </w:r>
      <w:proofErr w:type="spellStart"/>
      <w:r w:rsidRPr="00A950F5">
        <w:rPr>
          <w:lang w:eastAsia="ja-JP"/>
        </w:rPr>
        <w:t>Сусанинский</w:t>
      </w:r>
      <w:proofErr w:type="spellEnd"/>
      <w:r w:rsidRPr="00A950F5">
        <w:rPr>
          <w:lang w:eastAsia="ja-JP"/>
        </w:rPr>
        <w:t xml:space="preserve"> район, с. Северное, </w:t>
      </w:r>
      <w:proofErr w:type="spellStart"/>
      <w:r w:rsidRPr="00A950F5">
        <w:rPr>
          <w:lang w:eastAsia="ja-JP"/>
        </w:rPr>
        <w:t>мкр</w:t>
      </w:r>
      <w:proofErr w:type="spellEnd"/>
      <w:r w:rsidRPr="00A950F5">
        <w:rPr>
          <w:lang w:eastAsia="ja-JP"/>
        </w:rPr>
        <w:t>. Харитоново</w:t>
      </w:r>
    </w:p>
    <w:p w14:paraId="37A61AB5" w14:textId="77777777" w:rsidR="00237399" w:rsidRPr="003241CC" w:rsidRDefault="00237399" w:rsidP="003270B3">
      <w:pPr>
        <w:spacing w:line="360" w:lineRule="auto"/>
        <w:rPr>
          <w:lang w:eastAsia="ja-JP"/>
        </w:rPr>
      </w:pPr>
    </w:p>
    <w:p w14:paraId="61E9DCFF" w14:textId="77777777" w:rsidR="003241CC" w:rsidRPr="00237399" w:rsidRDefault="003241CC" w:rsidP="003270B3">
      <w:pPr>
        <w:spacing w:line="360" w:lineRule="auto"/>
        <w:rPr>
          <w:rFonts w:eastAsia="Calibri"/>
          <w:b/>
          <w:lang w:eastAsia="en-US"/>
        </w:rPr>
      </w:pPr>
      <w:r w:rsidRPr="00237399">
        <w:rPr>
          <w:b/>
          <w:lang w:eastAsia="ja-JP"/>
        </w:rPr>
        <w:t>Выпускающий контроль качества</w:t>
      </w:r>
    </w:p>
    <w:p w14:paraId="63D0204A" w14:textId="77777777" w:rsidR="003241CC" w:rsidRPr="003241CC" w:rsidRDefault="003241CC" w:rsidP="003270B3">
      <w:pPr>
        <w:spacing w:line="360" w:lineRule="auto"/>
        <w:rPr>
          <w:lang w:eastAsia="ja-JP"/>
        </w:rPr>
      </w:pPr>
      <w:r w:rsidRPr="003241CC">
        <w:rPr>
          <w:lang w:eastAsia="ja-JP"/>
        </w:rPr>
        <w:t>Ф. Хоффманн-Ля Рош Лтд., Швейцария</w:t>
      </w:r>
    </w:p>
    <w:p w14:paraId="4273A82D" w14:textId="77777777" w:rsidR="003241CC" w:rsidRPr="00AA3CA5" w:rsidRDefault="003241CC" w:rsidP="003270B3">
      <w:pPr>
        <w:spacing w:line="360" w:lineRule="auto"/>
        <w:rPr>
          <w:lang w:eastAsia="ja-JP"/>
        </w:rPr>
      </w:pPr>
      <w:r w:rsidRPr="003241CC">
        <w:rPr>
          <w:lang w:val="de-DE" w:eastAsia="ja-JP"/>
        </w:rPr>
        <w:t>F</w:t>
      </w:r>
      <w:r w:rsidRPr="00AA3CA5">
        <w:rPr>
          <w:lang w:eastAsia="ja-JP"/>
        </w:rPr>
        <w:t xml:space="preserve">. </w:t>
      </w:r>
      <w:r w:rsidRPr="003241CC">
        <w:rPr>
          <w:lang w:val="de-DE" w:eastAsia="ja-JP"/>
        </w:rPr>
        <w:t>Hoffmann</w:t>
      </w:r>
      <w:r w:rsidRPr="00AA3CA5">
        <w:rPr>
          <w:lang w:eastAsia="ja-JP"/>
        </w:rPr>
        <w:t>-</w:t>
      </w:r>
      <w:r w:rsidRPr="003241CC">
        <w:rPr>
          <w:lang w:val="de-DE" w:eastAsia="ja-JP"/>
        </w:rPr>
        <w:t>La</w:t>
      </w:r>
      <w:r w:rsidRPr="00AA3CA5">
        <w:rPr>
          <w:lang w:eastAsia="ja-JP"/>
        </w:rPr>
        <w:t xml:space="preserve"> </w:t>
      </w:r>
      <w:r w:rsidRPr="003241CC">
        <w:rPr>
          <w:lang w:val="de-DE" w:eastAsia="ja-JP"/>
        </w:rPr>
        <w:t>Roche</w:t>
      </w:r>
      <w:r w:rsidRPr="00AA3CA5">
        <w:rPr>
          <w:lang w:eastAsia="ja-JP"/>
        </w:rPr>
        <w:t xml:space="preserve"> </w:t>
      </w:r>
      <w:r w:rsidRPr="003241CC">
        <w:rPr>
          <w:lang w:val="de-DE" w:eastAsia="ja-JP"/>
        </w:rPr>
        <w:t>Ltd</w:t>
      </w:r>
      <w:r w:rsidRPr="00AA3CA5">
        <w:rPr>
          <w:lang w:eastAsia="ja-JP"/>
        </w:rPr>
        <w:t xml:space="preserve">, </w:t>
      </w:r>
      <w:r w:rsidRPr="00B6701F">
        <w:rPr>
          <w:lang w:val="de-DE" w:eastAsia="ja-JP"/>
        </w:rPr>
        <w:t>Wurmisweg</w:t>
      </w:r>
      <w:r w:rsidRPr="00AA3CA5">
        <w:rPr>
          <w:lang w:eastAsia="ja-JP"/>
        </w:rPr>
        <w:t xml:space="preserve">, 4303 </w:t>
      </w:r>
      <w:r w:rsidRPr="00B6701F">
        <w:rPr>
          <w:lang w:val="de-DE" w:eastAsia="ja-JP"/>
        </w:rPr>
        <w:t>Kaiseraugst</w:t>
      </w:r>
      <w:r w:rsidRPr="00AA3CA5">
        <w:rPr>
          <w:lang w:eastAsia="ja-JP"/>
        </w:rPr>
        <w:t xml:space="preserve">, </w:t>
      </w:r>
      <w:r w:rsidRPr="003241CC">
        <w:rPr>
          <w:lang w:val="de-DE" w:eastAsia="ja-JP"/>
        </w:rPr>
        <w:t>Switzerland</w:t>
      </w:r>
    </w:p>
    <w:p w14:paraId="6A079266" w14:textId="77777777" w:rsidR="003241CC" w:rsidRPr="00AA3CA5" w:rsidRDefault="003241CC" w:rsidP="003270B3">
      <w:pPr>
        <w:spacing w:line="360" w:lineRule="auto"/>
        <w:rPr>
          <w:lang w:eastAsia="ja-JP"/>
        </w:rPr>
      </w:pPr>
      <w:r w:rsidRPr="00AA3CA5">
        <w:rPr>
          <w:lang w:eastAsia="ja-JP"/>
        </w:rPr>
        <w:t xml:space="preserve"> </w:t>
      </w:r>
    </w:p>
    <w:p w14:paraId="3F883AE8" w14:textId="77777777" w:rsidR="003241CC" w:rsidRPr="003241CC" w:rsidRDefault="003241CC" w:rsidP="003270B3">
      <w:pPr>
        <w:spacing w:line="360" w:lineRule="auto"/>
        <w:rPr>
          <w:lang w:eastAsia="ja-JP"/>
        </w:rPr>
      </w:pPr>
      <w:r w:rsidRPr="003241CC">
        <w:rPr>
          <w:lang w:eastAsia="ja-JP"/>
        </w:rPr>
        <w:t>АО «ОРТАТ», Россия</w:t>
      </w:r>
    </w:p>
    <w:p w14:paraId="60A89532" w14:textId="6848A6AD" w:rsidR="003241CC" w:rsidRPr="00A942F6" w:rsidRDefault="003241CC" w:rsidP="003270B3">
      <w:pPr>
        <w:spacing w:line="360" w:lineRule="auto"/>
        <w:rPr>
          <w:color w:val="000000"/>
          <w:lang w:eastAsia="ja-JP"/>
        </w:rPr>
      </w:pPr>
      <w:r w:rsidRPr="00A950F5">
        <w:rPr>
          <w:lang w:eastAsia="ja-JP"/>
        </w:rPr>
        <w:t xml:space="preserve">157092, Россия, Костромская обл., </w:t>
      </w:r>
      <w:proofErr w:type="spellStart"/>
      <w:r w:rsidRPr="00A950F5">
        <w:rPr>
          <w:lang w:eastAsia="ja-JP"/>
        </w:rPr>
        <w:t>Сусанинский</w:t>
      </w:r>
      <w:proofErr w:type="spellEnd"/>
      <w:r w:rsidRPr="00A950F5">
        <w:rPr>
          <w:lang w:eastAsia="ja-JP"/>
        </w:rPr>
        <w:t xml:space="preserve"> район, с. Северное, </w:t>
      </w:r>
      <w:proofErr w:type="spellStart"/>
      <w:r w:rsidRPr="00A950F5">
        <w:rPr>
          <w:lang w:eastAsia="ja-JP"/>
        </w:rPr>
        <w:t>мкр</w:t>
      </w:r>
      <w:proofErr w:type="spellEnd"/>
      <w:r w:rsidRPr="00A950F5">
        <w:rPr>
          <w:lang w:eastAsia="ja-JP"/>
        </w:rPr>
        <w:t>. Харитоново</w:t>
      </w:r>
    </w:p>
    <w:p w14:paraId="10976AEE" w14:textId="77777777" w:rsidR="008F050C" w:rsidRPr="00A942F6" w:rsidRDefault="008F050C" w:rsidP="00C957E2">
      <w:pPr>
        <w:tabs>
          <w:tab w:val="left" w:pos="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 CYR" w:hAnsi="Times New Roman CYR"/>
          <w:color w:val="000000"/>
          <w:szCs w:val="20"/>
          <w:lang w:eastAsia="ja-JP"/>
        </w:rPr>
      </w:pPr>
    </w:p>
    <w:p w14:paraId="7B56EE17" w14:textId="4F9B014C" w:rsidR="00D37A83" w:rsidRPr="005A0011" w:rsidRDefault="00237399" w:rsidP="0023739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ja-JP"/>
        </w:rPr>
      </w:pPr>
      <w:r>
        <w:rPr>
          <w:b/>
          <w:lang w:eastAsia="ja-JP"/>
        </w:rPr>
        <w:t>Наименование и адрес организации</w:t>
      </w:r>
      <w:r w:rsidR="00D37A83" w:rsidRPr="005A0011">
        <w:rPr>
          <w:b/>
          <w:lang w:eastAsia="ja-JP"/>
        </w:rPr>
        <w:t xml:space="preserve">, </w:t>
      </w:r>
      <w:r>
        <w:rPr>
          <w:b/>
          <w:lang w:eastAsia="ja-JP"/>
        </w:rPr>
        <w:t>уполномоченной на принятие претензий от потребителя</w:t>
      </w:r>
    </w:p>
    <w:p w14:paraId="1BEDE4CF" w14:textId="70620496" w:rsidR="008A7A15" w:rsidRPr="008A7A15" w:rsidRDefault="008A7A15" w:rsidP="008A7A15">
      <w:pPr>
        <w:tabs>
          <w:tab w:val="left" w:pos="0"/>
        </w:tabs>
        <w:overflowPunct w:val="0"/>
        <w:autoSpaceDE w:val="0"/>
        <w:autoSpaceDN w:val="0"/>
        <w:adjustRightInd w:val="0"/>
        <w:spacing w:after="200"/>
        <w:textAlignment w:val="baseline"/>
        <w:rPr>
          <w:lang w:eastAsia="ja-JP"/>
        </w:rPr>
      </w:pPr>
      <w:r w:rsidRPr="008A7A15">
        <w:rPr>
          <w:i/>
          <w:lang w:eastAsia="ja-JP"/>
        </w:rPr>
        <w:t>Претензии потр</w:t>
      </w:r>
      <w:r w:rsidR="00172A43">
        <w:rPr>
          <w:i/>
          <w:lang w:eastAsia="ja-JP"/>
        </w:rPr>
        <w:t xml:space="preserve">ебителей направлять в компанию </w:t>
      </w:r>
      <w:r w:rsidRPr="008A7A15">
        <w:rPr>
          <w:i/>
          <w:lang w:eastAsia="ja-JP"/>
        </w:rPr>
        <w:t>АО «Рош-Москва» по адресу:</w:t>
      </w:r>
    </w:p>
    <w:p w14:paraId="106FA375" w14:textId="183DF612" w:rsidR="008A7A15" w:rsidRPr="008A7A15" w:rsidRDefault="008A7A15" w:rsidP="008A7A15">
      <w:pPr>
        <w:tabs>
          <w:tab w:val="left" w:pos="0"/>
        </w:tabs>
        <w:overflowPunct w:val="0"/>
        <w:autoSpaceDE w:val="0"/>
        <w:autoSpaceDN w:val="0"/>
        <w:adjustRightInd w:val="0"/>
        <w:spacing w:after="200"/>
        <w:textAlignment w:val="baseline"/>
        <w:rPr>
          <w:lang w:eastAsia="ja-JP"/>
        </w:rPr>
      </w:pPr>
      <w:r w:rsidRPr="008A7A15">
        <w:rPr>
          <w:lang w:eastAsia="ja-JP"/>
        </w:rPr>
        <w:t>1070</w:t>
      </w:r>
      <w:r w:rsidR="00D72489">
        <w:rPr>
          <w:lang w:eastAsia="ja-JP"/>
        </w:rPr>
        <w:t>45</w:t>
      </w:r>
      <w:r w:rsidRPr="008A7A15">
        <w:rPr>
          <w:lang w:eastAsia="ja-JP"/>
        </w:rPr>
        <w:t>, Россия, г. Москва, Трубная площадь, д. 2</w:t>
      </w:r>
      <w:r w:rsidR="00D72489">
        <w:rPr>
          <w:lang w:eastAsia="ja-JP"/>
        </w:rPr>
        <w:t>, помещение 1, этаж 1, комната 42</w:t>
      </w:r>
    </w:p>
    <w:p w14:paraId="25DE7335" w14:textId="77777777" w:rsidR="008A7A15" w:rsidRPr="008A7A15" w:rsidRDefault="008A7A15" w:rsidP="008A7A15">
      <w:pPr>
        <w:tabs>
          <w:tab w:val="left" w:pos="0"/>
        </w:tabs>
        <w:overflowPunct w:val="0"/>
        <w:autoSpaceDE w:val="0"/>
        <w:autoSpaceDN w:val="0"/>
        <w:adjustRightInd w:val="0"/>
        <w:spacing w:after="200"/>
        <w:textAlignment w:val="baseline"/>
        <w:rPr>
          <w:lang w:eastAsia="ja-JP"/>
        </w:rPr>
      </w:pPr>
      <w:r w:rsidRPr="008A7A15">
        <w:rPr>
          <w:lang w:eastAsia="ja-JP"/>
        </w:rPr>
        <w:t>тел. (495) 229 29 99, факс (495) 229 79 99</w:t>
      </w:r>
    </w:p>
    <w:p w14:paraId="61F67877" w14:textId="77777777" w:rsidR="008A7A15" w:rsidRPr="008A7A15" w:rsidRDefault="008A7A15" w:rsidP="008A7A15">
      <w:pPr>
        <w:tabs>
          <w:tab w:val="left" w:pos="0"/>
        </w:tabs>
        <w:overflowPunct w:val="0"/>
        <w:autoSpaceDE w:val="0"/>
        <w:autoSpaceDN w:val="0"/>
        <w:adjustRightInd w:val="0"/>
        <w:spacing w:after="200"/>
        <w:textAlignment w:val="baseline"/>
        <w:rPr>
          <w:lang w:eastAsia="ja-JP"/>
        </w:rPr>
      </w:pPr>
      <w:r w:rsidRPr="008A7A15">
        <w:rPr>
          <w:i/>
          <w:iCs/>
          <w:lang w:eastAsia="ja-JP"/>
        </w:rPr>
        <w:t>или через форму обратной связи на сайте:</w:t>
      </w:r>
    </w:p>
    <w:p w14:paraId="4778609F" w14:textId="77777777" w:rsidR="008A7A15" w:rsidRPr="008A7A15" w:rsidRDefault="009D2518" w:rsidP="008A7A15">
      <w:pPr>
        <w:spacing w:after="200" w:line="276" w:lineRule="auto"/>
        <w:rPr>
          <w:color w:val="0000FF"/>
          <w:u w:val="single"/>
          <w:lang w:eastAsia="ja-JP"/>
        </w:rPr>
      </w:pPr>
      <w:hyperlink r:id="rId11" w:tgtFrame="_blank" w:history="1">
        <w:r w:rsidR="008A7A15" w:rsidRPr="008A7A15">
          <w:rPr>
            <w:color w:val="0000FF"/>
            <w:u w:val="single"/>
            <w:lang w:val="en-US" w:eastAsia="ja-JP"/>
          </w:rPr>
          <w:t>www</w:t>
        </w:r>
        <w:r w:rsidR="008A7A15" w:rsidRPr="008A7A15">
          <w:rPr>
            <w:color w:val="0000FF"/>
            <w:u w:val="single"/>
            <w:lang w:eastAsia="ja-JP"/>
          </w:rPr>
          <w:t>.</w:t>
        </w:r>
        <w:r w:rsidR="008A7A15" w:rsidRPr="008A7A15">
          <w:rPr>
            <w:color w:val="0000FF"/>
            <w:u w:val="single"/>
            <w:lang w:val="en-US" w:eastAsia="ja-JP"/>
          </w:rPr>
          <w:t>roche</w:t>
        </w:r>
        <w:r w:rsidR="008A7A15" w:rsidRPr="008A7A15">
          <w:rPr>
            <w:color w:val="0000FF"/>
            <w:u w:val="single"/>
            <w:lang w:eastAsia="ja-JP"/>
          </w:rPr>
          <w:t>.</w:t>
        </w:r>
        <w:r w:rsidR="008A7A15" w:rsidRPr="008A7A15">
          <w:rPr>
            <w:color w:val="0000FF"/>
            <w:u w:val="single"/>
            <w:lang w:val="en-US" w:eastAsia="ja-JP"/>
          </w:rPr>
          <w:t>ru</w:t>
        </w:r>
      </w:hyperlink>
    </w:p>
    <w:p w14:paraId="0E69CD68" w14:textId="77777777" w:rsidR="003270B3" w:rsidRPr="00A573EB" w:rsidRDefault="003270B3" w:rsidP="00C957E2">
      <w:pPr>
        <w:spacing w:line="360" w:lineRule="auto"/>
        <w:rPr>
          <w:i/>
          <w:szCs w:val="22"/>
          <w:lang w:eastAsia="ja-JP"/>
        </w:rPr>
      </w:pPr>
    </w:p>
    <w:p w14:paraId="03F5B0BA" w14:textId="17764EF3" w:rsidR="00936B20" w:rsidRPr="00936B20" w:rsidRDefault="00C70826" w:rsidP="00C957E2">
      <w:pPr>
        <w:spacing w:line="360" w:lineRule="auto"/>
        <w:rPr>
          <w:i/>
          <w:szCs w:val="22"/>
          <w:lang w:eastAsia="ja-JP"/>
        </w:rPr>
      </w:pPr>
      <w:r>
        <w:rPr>
          <w:i/>
          <w:szCs w:val="22"/>
          <w:lang w:eastAsia="ja-JP"/>
        </w:rPr>
        <w:t xml:space="preserve">В случае упаковки на </w:t>
      </w:r>
      <w:r w:rsidR="00936B20" w:rsidRPr="00936B20">
        <w:rPr>
          <w:i/>
          <w:szCs w:val="22"/>
          <w:lang w:eastAsia="ja-JP"/>
        </w:rPr>
        <w:t>АО «ОРТАТ» претензии потребителей направлять по адресу</w:t>
      </w:r>
      <w:r w:rsidR="00936B20" w:rsidRPr="00936B20">
        <w:rPr>
          <w:szCs w:val="22"/>
          <w:lang w:eastAsia="ja-JP"/>
        </w:rPr>
        <w:t>:</w:t>
      </w:r>
    </w:p>
    <w:p w14:paraId="2773BB3F" w14:textId="77777777" w:rsidR="00237399" w:rsidRDefault="00936B20" w:rsidP="006D7628">
      <w:pPr>
        <w:tabs>
          <w:tab w:val="left" w:pos="680"/>
        </w:tabs>
        <w:spacing w:line="360" w:lineRule="auto"/>
        <w:rPr>
          <w:szCs w:val="22"/>
          <w:lang w:eastAsia="ja-JP"/>
        </w:rPr>
      </w:pPr>
      <w:r w:rsidRPr="00936B20">
        <w:rPr>
          <w:szCs w:val="22"/>
          <w:lang w:eastAsia="ja-JP"/>
        </w:rPr>
        <w:t xml:space="preserve">157092, Россия, </w:t>
      </w:r>
      <w:r w:rsidR="00172A43">
        <w:rPr>
          <w:szCs w:val="22"/>
          <w:lang w:eastAsia="ja-JP"/>
        </w:rPr>
        <w:t xml:space="preserve">Костромская обл., </w:t>
      </w:r>
      <w:proofErr w:type="spellStart"/>
      <w:r w:rsidR="00172A43">
        <w:rPr>
          <w:szCs w:val="22"/>
          <w:lang w:eastAsia="ja-JP"/>
        </w:rPr>
        <w:t>Сусанинский</w:t>
      </w:r>
      <w:proofErr w:type="spellEnd"/>
      <w:r w:rsidR="00172A43">
        <w:rPr>
          <w:szCs w:val="22"/>
          <w:lang w:eastAsia="ja-JP"/>
        </w:rPr>
        <w:t xml:space="preserve"> район, с. Северное, </w:t>
      </w:r>
      <w:proofErr w:type="spellStart"/>
      <w:r w:rsidR="00172A43">
        <w:rPr>
          <w:szCs w:val="22"/>
          <w:lang w:eastAsia="ja-JP"/>
        </w:rPr>
        <w:t>мкр</w:t>
      </w:r>
      <w:proofErr w:type="spellEnd"/>
      <w:r w:rsidR="00172A43">
        <w:rPr>
          <w:szCs w:val="22"/>
          <w:lang w:eastAsia="ja-JP"/>
        </w:rPr>
        <w:t>.</w:t>
      </w:r>
      <w:r w:rsidR="00237399">
        <w:rPr>
          <w:szCs w:val="22"/>
          <w:lang w:eastAsia="ja-JP"/>
        </w:rPr>
        <w:t xml:space="preserve"> Харитоново</w:t>
      </w:r>
    </w:p>
    <w:p w14:paraId="23D9BB90" w14:textId="6D2AAC37" w:rsidR="003241CC" w:rsidRDefault="00936B20" w:rsidP="006D7628">
      <w:pPr>
        <w:tabs>
          <w:tab w:val="left" w:pos="680"/>
        </w:tabs>
        <w:spacing w:line="360" w:lineRule="auto"/>
        <w:rPr>
          <w:szCs w:val="22"/>
          <w:lang w:eastAsia="ja-JP"/>
        </w:rPr>
      </w:pPr>
      <w:r w:rsidRPr="00936B20">
        <w:rPr>
          <w:szCs w:val="22"/>
          <w:lang w:eastAsia="ja-JP"/>
        </w:rPr>
        <w:t>тел./факс (4942) 650-806</w:t>
      </w:r>
    </w:p>
    <w:p w14:paraId="6EE3D1DE" w14:textId="2BF47833" w:rsidR="00C65E9F" w:rsidRDefault="00C65E9F" w:rsidP="006D7628">
      <w:pPr>
        <w:tabs>
          <w:tab w:val="left" w:pos="680"/>
        </w:tabs>
        <w:spacing w:line="360" w:lineRule="auto"/>
        <w:rPr>
          <w:szCs w:val="22"/>
          <w:lang w:eastAsia="ja-JP"/>
        </w:rPr>
      </w:pPr>
    </w:p>
    <w:p w14:paraId="5CB40C2D" w14:textId="77777777" w:rsidR="006A7BF8" w:rsidRDefault="006A7BF8" w:rsidP="006D7628">
      <w:pPr>
        <w:tabs>
          <w:tab w:val="left" w:pos="680"/>
        </w:tabs>
        <w:spacing w:line="360" w:lineRule="auto"/>
        <w:rPr>
          <w:szCs w:val="22"/>
          <w:lang w:eastAsia="ja-JP"/>
        </w:rPr>
      </w:pPr>
    </w:p>
    <w:sectPr w:rsidR="006A7BF8" w:rsidSect="007D544E">
      <w:footerReference w:type="even" r:id="rId12"/>
      <w:footerReference w:type="default" r:id="rId13"/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6602" w14:textId="77777777" w:rsidR="009D2518" w:rsidRDefault="009D2518">
      <w:r>
        <w:separator/>
      </w:r>
    </w:p>
  </w:endnote>
  <w:endnote w:type="continuationSeparator" w:id="0">
    <w:p w14:paraId="4ACE4601" w14:textId="77777777" w:rsidR="009D2518" w:rsidRDefault="009D2518">
      <w:r>
        <w:continuationSeparator/>
      </w:r>
    </w:p>
  </w:endnote>
  <w:endnote w:type="continuationNotice" w:id="1">
    <w:p w14:paraId="1C11B6D5" w14:textId="77777777" w:rsidR="009D2518" w:rsidRDefault="009D2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6F41" w14:textId="77777777" w:rsidR="00051F8D" w:rsidRDefault="00051F8D" w:rsidP="00882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4137E056" w14:textId="77777777" w:rsidR="00051F8D" w:rsidRDefault="00051F8D" w:rsidP="0088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6EB6" w14:textId="10034658" w:rsidR="00051F8D" w:rsidRDefault="00051F8D" w:rsidP="00882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585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BCD247E" w14:textId="58A935BE" w:rsidR="00051F8D" w:rsidRPr="00074585" w:rsidRDefault="00074585" w:rsidP="00604713">
    <w:pPr>
      <w:tabs>
        <w:tab w:val="center" w:pos="4844"/>
        <w:tab w:val="right" w:pos="9689"/>
      </w:tabs>
      <w:ind w:right="360"/>
      <w:rPr>
        <w:sz w:val="20"/>
        <w:szCs w:val="20"/>
        <w:lang w:val="en-US"/>
      </w:rPr>
    </w:pPr>
    <w:r w:rsidRPr="00F67493">
      <w:rPr>
        <w:rFonts w:ascii="Arial" w:hAnsi="Arial" w:cs="Arial"/>
        <w:sz w:val="20"/>
        <w:szCs w:val="20"/>
      </w:rPr>
      <w:t xml:space="preserve">Версия </w:t>
    </w:r>
    <w:r>
      <w:rPr>
        <w:rFonts w:ascii="Arial" w:hAnsi="Arial" w:cs="Arial"/>
        <w:sz w:val="20"/>
        <w:szCs w:val="20"/>
        <w:lang w:val="en-US"/>
      </w:rPr>
      <w:t>11</w:t>
    </w:r>
    <w:r w:rsidRPr="00F67493">
      <w:rPr>
        <w:rFonts w:ascii="Arial" w:hAnsi="Arial" w:cs="Arial"/>
        <w:sz w:val="20"/>
        <w:szCs w:val="20"/>
      </w:rPr>
      <w:t xml:space="preserve">              МИНЗДРАВ </w:t>
    </w:r>
    <w:proofErr w:type="gramStart"/>
    <w:r w:rsidRPr="00F67493">
      <w:rPr>
        <w:rFonts w:ascii="Arial" w:hAnsi="Arial" w:cs="Arial"/>
        <w:sz w:val="20"/>
        <w:szCs w:val="20"/>
      </w:rPr>
      <w:t>РОССИИ  ЛП</w:t>
    </w:r>
    <w:proofErr w:type="gramEnd"/>
    <w:r w:rsidRPr="00F67493">
      <w:rPr>
        <w:rFonts w:ascii="Arial" w:hAnsi="Arial" w:cs="Arial"/>
        <w:sz w:val="20"/>
        <w:szCs w:val="20"/>
      </w:rPr>
      <w:t>-002</w:t>
    </w:r>
    <w:r w:rsidRPr="00F67493">
      <w:rPr>
        <w:rFonts w:ascii="Arial" w:hAnsi="Arial" w:cs="Arial"/>
        <w:sz w:val="20"/>
        <w:szCs w:val="20"/>
        <w:lang w:val="en-US"/>
      </w:rPr>
      <w:t>034</w:t>
    </w:r>
    <w:r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  <w:lang w:val="en-US"/>
      </w:rPr>
      <w:t>507</w:t>
    </w:r>
    <w:r>
      <w:rPr>
        <w:rFonts w:ascii="Arial" w:hAnsi="Arial" w:cs="Arial"/>
        <w:sz w:val="20"/>
        <w:szCs w:val="20"/>
      </w:rPr>
      <w:t>21</w:t>
    </w:r>
    <w:r w:rsidRPr="00F67493">
      <w:rPr>
        <w:rFonts w:ascii="Arial" w:hAnsi="Arial" w:cs="Arial"/>
        <w:sz w:val="20"/>
        <w:szCs w:val="20"/>
      </w:rPr>
      <w:t xml:space="preserve">  СОГЛАСОВАНО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8375" w14:textId="77777777" w:rsidR="009D2518" w:rsidRDefault="009D2518">
      <w:r>
        <w:separator/>
      </w:r>
    </w:p>
  </w:footnote>
  <w:footnote w:type="continuationSeparator" w:id="0">
    <w:p w14:paraId="0AD547F9" w14:textId="77777777" w:rsidR="009D2518" w:rsidRDefault="009D2518">
      <w:r>
        <w:continuationSeparator/>
      </w:r>
    </w:p>
  </w:footnote>
  <w:footnote w:type="continuationNotice" w:id="1">
    <w:p w14:paraId="5AE0DF26" w14:textId="77777777" w:rsidR="009D2518" w:rsidRDefault="009D2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02F18"/>
    <w:multiLevelType w:val="hybridMultilevel"/>
    <w:tmpl w:val="E05CC8EA"/>
    <w:lvl w:ilvl="0" w:tplc="7012F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8F5BE0"/>
    <w:multiLevelType w:val="hybridMultilevel"/>
    <w:tmpl w:val="EB7231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1CCF"/>
    <w:multiLevelType w:val="hybridMultilevel"/>
    <w:tmpl w:val="3F6C68E8"/>
    <w:lvl w:ilvl="0" w:tplc="0A12B71C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A1D4B"/>
    <w:multiLevelType w:val="hybridMultilevel"/>
    <w:tmpl w:val="E92027FA"/>
    <w:lvl w:ilvl="0" w:tplc="7012F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C4CAB"/>
    <w:multiLevelType w:val="hybridMultilevel"/>
    <w:tmpl w:val="EABE2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4814D6"/>
    <w:multiLevelType w:val="hybridMultilevel"/>
    <w:tmpl w:val="F624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A4D25"/>
    <w:multiLevelType w:val="hybridMultilevel"/>
    <w:tmpl w:val="6F16F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F4CA5"/>
    <w:multiLevelType w:val="hybridMultilevel"/>
    <w:tmpl w:val="256AD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1966"/>
    <w:multiLevelType w:val="hybridMultilevel"/>
    <w:tmpl w:val="2FD2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01D1B"/>
    <w:multiLevelType w:val="hybridMultilevel"/>
    <w:tmpl w:val="72A6DB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BD449BA"/>
    <w:multiLevelType w:val="hybridMultilevel"/>
    <w:tmpl w:val="7E3A1126"/>
    <w:lvl w:ilvl="0" w:tplc="2EB426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12D3A"/>
    <w:multiLevelType w:val="hybridMultilevel"/>
    <w:tmpl w:val="702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815A8"/>
    <w:multiLevelType w:val="hybridMultilevel"/>
    <w:tmpl w:val="203887B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B4D6F04"/>
    <w:multiLevelType w:val="hybridMultilevel"/>
    <w:tmpl w:val="866206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F482044"/>
    <w:multiLevelType w:val="hybridMultilevel"/>
    <w:tmpl w:val="2580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A5F70"/>
    <w:multiLevelType w:val="hybridMultilevel"/>
    <w:tmpl w:val="1B002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37E32C3E"/>
    <w:multiLevelType w:val="multilevel"/>
    <w:tmpl w:val="0896D0E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FB37921"/>
    <w:multiLevelType w:val="hybridMultilevel"/>
    <w:tmpl w:val="A4F2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32EA3"/>
    <w:multiLevelType w:val="hybridMultilevel"/>
    <w:tmpl w:val="0A9EB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1E5675"/>
    <w:multiLevelType w:val="hybridMultilevel"/>
    <w:tmpl w:val="2356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E2BD5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 w15:restartNumberingAfterBreak="0">
    <w:nsid w:val="4B315BEE"/>
    <w:multiLevelType w:val="multilevel"/>
    <w:tmpl w:val="EFDC5ED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5626589"/>
    <w:multiLevelType w:val="multilevel"/>
    <w:tmpl w:val="143C8A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5AE3BFF"/>
    <w:multiLevelType w:val="hybridMultilevel"/>
    <w:tmpl w:val="D0C839BE"/>
    <w:lvl w:ilvl="0" w:tplc="7012F0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720"/>
        </w:tabs>
        <w:ind w:left="-3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000"/>
        </w:tabs>
        <w:ind w:left="-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560"/>
        </w:tabs>
        <w:ind w:left="-1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840"/>
        </w:tabs>
        <w:ind w:left="-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7F2362D"/>
    <w:multiLevelType w:val="hybridMultilevel"/>
    <w:tmpl w:val="F2288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92D5A1F"/>
    <w:multiLevelType w:val="hybridMultilevel"/>
    <w:tmpl w:val="500E85F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393CFD"/>
    <w:multiLevelType w:val="hybridMultilevel"/>
    <w:tmpl w:val="CB8EA298"/>
    <w:lvl w:ilvl="0" w:tplc="F09670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2" w15:restartNumberingAfterBreak="0">
    <w:nsid w:val="68F603B2"/>
    <w:multiLevelType w:val="hybridMultilevel"/>
    <w:tmpl w:val="BF4C6F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90F3ACF"/>
    <w:multiLevelType w:val="hybridMultilevel"/>
    <w:tmpl w:val="0654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6C971D2F"/>
    <w:multiLevelType w:val="hybridMultilevel"/>
    <w:tmpl w:val="7166E46A"/>
    <w:lvl w:ilvl="0" w:tplc="7012F0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720"/>
        </w:tabs>
        <w:ind w:left="-3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000"/>
        </w:tabs>
        <w:ind w:left="-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560"/>
        </w:tabs>
        <w:ind w:left="-1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840"/>
        </w:tabs>
        <w:ind w:left="-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4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8" w15:restartNumberingAfterBreak="0">
    <w:nsid w:val="6F684A24"/>
    <w:multiLevelType w:val="hybridMultilevel"/>
    <w:tmpl w:val="289E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76BC9"/>
    <w:multiLevelType w:val="hybridMultilevel"/>
    <w:tmpl w:val="735026BA"/>
    <w:lvl w:ilvl="0" w:tplc="F09670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3A1F4A"/>
    <w:multiLevelType w:val="hybridMultilevel"/>
    <w:tmpl w:val="FD6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9086F39"/>
    <w:multiLevelType w:val="hybridMultilevel"/>
    <w:tmpl w:val="560A2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627832"/>
    <w:multiLevelType w:val="hybridMultilevel"/>
    <w:tmpl w:val="C6C04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7A508A"/>
    <w:multiLevelType w:val="hybridMultilevel"/>
    <w:tmpl w:val="028AB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E914E1"/>
    <w:multiLevelType w:val="hybridMultilevel"/>
    <w:tmpl w:val="CE2E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1"/>
  </w:num>
  <w:num w:numId="6">
    <w:abstractNumId w:val="36"/>
  </w:num>
  <w:num w:numId="7">
    <w:abstractNumId w:val="20"/>
  </w:num>
  <w:num w:numId="8">
    <w:abstractNumId w:val="25"/>
  </w:num>
  <w:num w:numId="9">
    <w:abstractNumId w:val="51"/>
  </w:num>
  <w:num w:numId="10">
    <w:abstractNumId w:val="1"/>
  </w:num>
  <w:num w:numId="11">
    <w:abstractNumId w:val="45"/>
  </w:num>
  <w:num w:numId="12">
    <w:abstractNumId w:val="23"/>
  </w:num>
  <w:num w:numId="13">
    <w:abstractNumId w:val="17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7"/>
  </w:num>
  <w:num w:numId="17">
    <w:abstractNumId w:val="30"/>
  </w:num>
  <w:num w:numId="18">
    <w:abstractNumId w:val="34"/>
  </w:num>
  <w:num w:numId="19">
    <w:abstractNumId w:val="53"/>
  </w:num>
  <w:num w:numId="20">
    <w:abstractNumId w:val="39"/>
  </w:num>
  <w:num w:numId="21">
    <w:abstractNumId w:val="49"/>
  </w:num>
  <w:num w:numId="22">
    <w:abstractNumId w:val="44"/>
  </w:num>
  <w:num w:numId="23">
    <w:abstractNumId w:val="19"/>
  </w:num>
  <w:num w:numId="24">
    <w:abstractNumId w:val="32"/>
  </w:num>
  <w:num w:numId="25">
    <w:abstractNumId w:val="31"/>
  </w:num>
  <w:num w:numId="26">
    <w:abstractNumId w:val="24"/>
  </w:num>
  <w:num w:numId="27">
    <w:abstractNumId w:val="33"/>
  </w:num>
  <w:num w:numId="28">
    <w:abstractNumId w:val="46"/>
  </w:num>
  <w:num w:numId="29">
    <w:abstractNumId w:val="35"/>
  </w:num>
  <w:num w:numId="30">
    <w:abstractNumId w:val="52"/>
  </w:num>
  <w:num w:numId="31">
    <w:abstractNumId w:val="22"/>
  </w:num>
  <w:num w:numId="32">
    <w:abstractNumId w:val="9"/>
  </w:num>
  <w:num w:numId="33">
    <w:abstractNumId w:val="27"/>
  </w:num>
  <w:num w:numId="34">
    <w:abstractNumId w:val="2"/>
  </w:num>
  <w:num w:numId="35">
    <w:abstractNumId w:val="7"/>
  </w:num>
  <w:num w:numId="36">
    <w:abstractNumId w:val="42"/>
  </w:num>
  <w:num w:numId="37">
    <w:abstractNumId w:val="4"/>
  </w:num>
  <w:num w:numId="38">
    <w:abstractNumId w:val="13"/>
  </w:num>
  <w:num w:numId="39">
    <w:abstractNumId w:val="55"/>
  </w:num>
  <w:num w:numId="40">
    <w:abstractNumId w:val="21"/>
  </w:num>
  <w:num w:numId="41">
    <w:abstractNumId w:val="43"/>
  </w:num>
  <w:num w:numId="42">
    <w:abstractNumId w:val="8"/>
  </w:num>
  <w:num w:numId="43">
    <w:abstractNumId w:val="26"/>
  </w:num>
  <w:num w:numId="44">
    <w:abstractNumId w:val="56"/>
  </w:num>
  <w:num w:numId="45">
    <w:abstractNumId w:val="12"/>
  </w:num>
  <w:num w:numId="46">
    <w:abstractNumId w:val="57"/>
  </w:num>
  <w:num w:numId="47">
    <w:abstractNumId w:val="50"/>
  </w:num>
  <w:num w:numId="48">
    <w:abstractNumId w:val="38"/>
  </w:num>
  <w:num w:numId="49">
    <w:abstractNumId w:val="14"/>
  </w:num>
  <w:num w:numId="50">
    <w:abstractNumId w:val="28"/>
  </w:num>
  <w:num w:numId="51">
    <w:abstractNumId w:val="48"/>
  </w:num>
  <w:num w:numId="52">
    <w:abstractNumId w:val="54"/>
  </w:num>
  <w:num w:numId="53">
    <w:abstractNumId w:val="10"/>
  </w:num>
  <w:num w:numId="54">
    <w:abstractNumId w:val="29"/>
  </w:num>
  <w:num w:numId="55">
    <w:abstractNumId w:val="16"/>
  </w:num>
  <w:num w:numId="56">
    <w:abstractNumId w:val="37"/>
  </w:num>
  <w:num w:numId="57">
    <w:abstractNumId w:val="18"/>
  </w:num>
  <w:num w:numId="58">
    <w:abstractNumId w:val="11"/>
  </w:num>
  <w:num w:numId="59">
    <w:abstractNumId w:val="15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2"/>
    <w:rsid w:val="00000406"/>
    <w:rsid w:val="000006D1"/>
    <w:rsid w:val="00001AF5"/>
    <w:rsid w:val="000028C5"/>
    <w:rsid w:val="00003190"/>
    <w:rsid w:val="00003254"/>
    <w:rsid w:val="00004C53"/>
    <w:rsid w:val="00005B98"/>
    <w:rsid w:val="0000606B"/>
    <w:rsid w:val="0000627D"/>
    <w:rsid w:val="00007C81"/>
    <w:rsid w:val="000108AB"/>
    <w:rsid w:val="000109E8"/>
    <w:rsid w:val="00011385"/>
    <w:rsid w:val="00011956"/>
    <w:rsid w:val="0001521E"/>
    <w:rsid w:val="00015432"/>
    <w:rsid w:val="00015B31"/>
    <w:rsid w:val="0001607D"/>
    <w:rsid w:val="000212BD"/>
    <w:rsid w:val="00023398"/>
    <w:rsid w:val="00023861"/>
    <w:rsid w:val="00024A5D"/>
    <w:rsid w:val="00025C2D"/>
    <w:rsid w:val="00026D4A"/>
    <w:rsid w:val="00026E22"/>
    <w:rsid w:val="00027887"/>
    <w:rsid w:val="00027A7F"/>
    <w:rsid w:val="00027D76"/>
    <w:rsid w:val="00030777"/>
    <w:rsid w:val="00031015"/>
    <w:rsid w:val="000327BE"/>
    <w:rsid w:val="000327D9"/>
    <w:rsid w:val="00033FA3"/>
    <w:rsid w:val="00036E79"/>
    <w:rsid w:val="00037BBD"/>
    <w:rsid w:val="0004081F"/>
    <w:rsid w:val="0004085B"/>
    <w:rsid w:val="00040E2B"/>
    <w:rsid w:val="00042104"/>
    <w:rsid w:val="00042D2D"/>
    <w:rsid w:val="0004317D"/>
    <w:rsid w:val="00043187"/>
    <w:rsid w:val="00044EC0"/>
    <w:rsid w:val="0004500E"/>
    <w:rsid w:val="00046215"/>
    <w:rsid w:val="0005007E"/>
    <w:rsid w:val="000515BB"/>
    <w:rsid w:val="00051AE8"/>
    <w:rsid w:val="00051F8D"/>
    <w:rsid w:val="000523DA"/>
    <w:rsid w:val="00052826"/>
    <w:rsid w:val="00053AAA"/>
    <w:rsid w:val="000639EA"/>
    <w:rsid w:val="00064D66"/>
    <w:rsid w:val="00064FFC"/>
    <w:rsid w:val="0006590F"/>
    <w:rsid w:val="00065B2B"/>
    <w:rsid w:val="0006763C"/>
    <w:rsid w:val="00070E32"/>
    <w:rsid w:val="00070FC6"/>
    <w:rsid w:val="00071FE4"/>
    <w:rsid w:val="000723D7"/>
    <w:rsid w:val="00072A6D"/>
    <w:rsid w:val="00074585"/>
    <w:rsid w:val="000749BE"/>
    <w:rsid w:val="0007592F"/>
    <w:rsid w:val="00075D34"/>
    <w:rsid w:val="00075EDC"/>
    <w:rsid w:val="00076EAD"/>
    <w:rsid w:val="0007792E"/>
    <w:rsid w:val="00077D76"/>
    <w:rsid w:val="00081AB3"/>
    <w:rsid w:val="00082A21"/>
    <w:rsid w:val="0008415F"/>
    <w:rsid w:val="00084361"/>
    <w:rsid w:val="00084FB3"/>
    <w:rsid w:val="00085090"/>
    <w:rsid w:val="00086E2B"/>
    <w:rsid w:val="0008724C"/>
    <w:rsid w:val="00090567"/>
    <w:rsid w:val="00096C2F"/>
    <w:rsid w:val="00097152"/>
    <w:rsid w:val="000A3CEB"/>
    <w:rsid w:val="000A5528"/>
    <w:rsid w:val="000A5A95"/>
    <w:rsid w:val="000A7233"/>
    <w:rsid w:val="000A7301"/>
    <w:rsid w:val="000B0C31"/>
    <w:rsid w:val="000B102A"/>
    <w:rsid w:val="000B2611"/>
    <w:rsid w:val="000B37B7"/>
    <w:rsid w:val="000B3FE3"/>
    <w:rsid w:val="000B63B5"/>
    <w:rsid w:val="000B70D3"/>
    <w:rsid w:val="000B75BB"/>
    <w:rsid w:val="000B7EC3"/>
    <w:rsid w:val="000B7F92"/>
    <w:rsid w:val="000C1799"/>
    <w:rsid w:val="000C1C79"/>
    <w:rsid w:val="000C27D6"/>
    <w:rsid w:val="000C2CE0"/>
    <w:rsid w:val="000C3067"/>
    <w:rsid w:val="000C419C"/>
    <w:rsid w:val="000C4FB4"/>
    <w:rsid w:val="000C5381"/>
    <w:rsid w:val="000C5475"/>
    <w:rsid w:val="000C5477"/>
    <w:rsid w:val="000C5F39"/>
    <w:rsid w:val="000C6319"/>
    <w:rsid w:val="000C63BB"/>
    <w:rsid w:val="000D0C58"/>
    <w:rsid w:val="000D2864"/>
    <w:rsid w:val="000D2C78"/>
    <w:rsid w:val="000D37D8"/>
    <w:rsid w:val="000D3DE4"/>
    <w:rsid w:val="000D402B"/>
    <w:rsid w:val="000D510A"/>
    <w:rsid w:val="000D63EB"/>
    <w:rsid w:val="000D7D7A"/>
    <w:rsid w:val="000E20A9"/>
    <w:rsid w:val="000E2175"/>
    <w:rsid w:val="000E26D2"/>
    <w:rsid w:val="000E5DB4"/>
    <w:rsid w:val="000E5E1B"/>
    <w:rsid w:val="000F0E3A"/>
    <w:rsid w:val="000F1674"/>
    <w:rsid w:val="000F20BC"/>
    <w:rsid w:val="000F23B5"/>
    <w:rsid w:val="000F2E19"/>
    <w:rsid w:val="000F4682"/>
    <w:rsid w:val="000F488C"/>
    <w:rsid w:val="000F4D05"/>
    <w:rsid w:val="000F5475"/>
    <w:rsid w:val="000F5B1D"/>
    <w:rsid w:val="001005C8"/>
    <w:rsid w:val="0010090A"/>
    <w:rsid w:val="00101BD7"/>
    <w:rsid w:val="00101BE0"/>
    <w:rsid w:val="00102806"/>
    <w:rsid w:val="001034DE"/>
    <w:rsid w:val="001041D8"/>
    <w:rsid w:val="00104328"/>
    <w:rsid w:val="00104DF4"/>
    <w:rsid w:val="00106600"/>
    <w:rsid w:val="00107374"/>
    <w:rsid w:val="00107432"/>
    <w:rsid w:val="00111EF1"/>
    <w:rsid w:val="00113378"/>
    <w:rsid w:val="00113BF2"/>
    <w:rsid w:val="0011402C"/>
    <w:rsid w:val="00114452"/>
    <w:rsid w:val="00114E4B"/>
    <w:rsid w:val="00115617"/>
    <w:rsid w:val="0011579F"/>
    <w:rsid w:val="0011598F"/>
    <w:rsid w:val="0011707D"/>
    <w:rsid w:val="0011744D"/>
    <w:rsid w:val="00117814"/>
    <w:rsid w:val="001205DA"/>
    <w:rsid w:val="00120DD1"/>
    <w:rsid w:val="00121817"/>
    <w:rsid w:val="001224BD"/>
    <w:rsid w:val="0012542A"/>
    <w:rsid w:val="00125465"/>
    <w:rsid w:val="0013071A"/>
    <w:rsid w:val="001325E0"/>
    <w:rsid w:val="00132700"/>
    <w:rsid w:val="001332EC"/>
    <w:rsid w:val="00133B26"/>
    <w:rsid w:val="001348A2"/>
    <w:rsid w:val="0013628F"/>
    <w:rsid w:val="00137CA2"/>
    <w:rsid w:val="00140E3A"/>
    <w:rsid w:val="0014102B"/>
    <w:rsid w:val="00141F1A"/>
    <w:rsid w:val="001426F8"/>
    <w:rsid w:val="00143C95"/>
    <w:rsid w:val="0014480F"/>
    <w:rsid w:val="00151F7C"/>
    <w:rsid w:val="00155594"/>
    <w:rsid w:val="001579A1"/>
    <w:rsid w:val="00157C32"/>
    <w:rsid w:val="00160B99"/>
    <w:rsid w:val="00162441"/>
    <w:rsid w:val="00163662"/>
    <w:rsid w:val="00163C81"/>
    <w:rsid w:val="00164D6C"/>
    <w:rsid w:val="00166749"/>
    <w:rsid w:val="001670FB"/>
    <w:rsid w:val="00167832"/>
    <w:rsid w:val="00172117"/>
    <w:rsid w:val="00172A43"/>
    <w:rsid w:val="00173A2D"/>
    <w:rsid w:val="00174ACF"/>
    <w:rsid w:val="00176716"/>
    <w:rsid w:val="001775D3"/>
    <w:rsid w:val="00177E9A"/>
    <w:rsid w:val="00180917"/>
    <w:rsid w:val="00182083"/>
    <w:rsid w:val="001828CE"/>
    <w:rsid w:val="00186D4A"/>
    <w:rsid w:val="00187493"/>
    <w:rsid w:val="00190CAF"/>
    <w:rsid w:val="00191FEE"/>
    <w:rsid w:val="001931EA"/>
    <w:rsid w:val="001932FF"/>
    <w:rsid w:val="001941A8"/>
    <w:rsid w:val="00194C4E"/>
    <w:rsid w:val="00196A58"/>
    <w:rsid w:val="00197517"/>
    <w:rsid w:val="001976A1"/>
    <w:rsid w:val="001A1FE8"/>
    <w:rsid w:val="001A320D"/>
    <w:rsid w:val="001A3DAB"/>
    <w:rsid w:val="001A49BE"/>
    <w:rsid w:val="001A6799"/>
    <w:rsid w:val="001B076D"/>
    <w:rsid w:val="001B1A37"/>
    <w:rsid w:val="001B28BF"/>
    <w:rsid w:val="001B2A9C"/>
    <w:rsid w:val="001B2F9B"/>
    <w:rsid w:val="001B33D7"/>
    <w:rsid w:val="001B3A4A"/>
    <w:rsid w:val="001B5863"/>
    <w:rsid w:val="001B5CF8"/>
    <w:rsid w:val="001C0E33"/>
    <w:rsid w:val="001C118B"/>
    <w:rsid w:val="001C255E"/>
    <w:rsid w:val="001C36E3"/>
    <w:rsid w:val="001C4848"/>
    <w:rsid w:val="001C7CB7"/>
    <w:rsid w:val="001C7F2E"/>
    <w:rsid w:val="001D1773"/>
    <w:rsid w:val="001D2089"/>
    <w:rsid w:val="001D2EB0"/>
    <w:rsid w:val="001D333A"/>
    <w:rsid w:val="001D4AEF"/>
    <w:rsid w:val="001D4B32"/>
    <w:rsid w:val="001D68C7"/>
    <w:rsid w:val="001D7401"/>
    <w:rsid w:val="001D7667"/>
    <w:rsid w:val="001E045B"/>
    <w:rsid w:val="001E0EA1"/>
    <w:rsid w:val="001E147A"/>
    <w:rsid w:val="001E444C"/>
    <w:rsid w:val="001E4D84"/>
    <w:rsid w:val="001E5589"/>
    <w:rsid w:val="001E5906"/>
    <w:rsid w:val="001E6A8E"/>
    <w:rsid w:val="001F1695"/>
    <w:rsid w:val="001F2C38"/>
    <w:rsid w:val="001F3780"/>
    <w:rsid w:val="001F3DDF"/>
    <w:rsid w:val="001F41D1"/>
    <w:rsid w:val="001F4CC4"/>
    <w:rsid w:val="001F5E35"/>
    <w:rsid w:val="001F5E4A"/>
    <w:rsid w:val="001F6C39"/>
    <w:rsid w:val="001F6D31"/>
    <w:rsid w:val="00200155"/>
    <w:rsid w:val="00200294"/>
    <w:rsid w:val="002007A8"/>
    <w:rsid w:val="00201A57"/>
    <w:rsid w:val="00201BC7"/>
    <w:rsid w:val="002048AA"/>
    <w:rsid w:val="00205446"/>
    <w:rsid w:val="00206462"/>
    <w:rsid w:val="00206EEC"/>
    <w:rsid w:val="00207253"/>
    <w:rsid w:val="00207CCC"/>
    <w:rsid w:val="00207D4D"/>
    <w:rsid w:val="002106B4"/>
    <w:rsid w:val="00210E7C"/>
    <w:rsid w:val="0021209C"/>
    <w:rsid w:val="00213787"/>
    <w:rsid w:val="002157B9"/>
    <w:rsid w:val="00216480"/>
    <w:rsid w:val="00216CF2"/>
    <w:rsid w:val="00216EFD"/>
    <w:rsid w:val="002174CB"/>
    <w:rsid w:val="0022026B"/>
    <w:rsid w:val="0022169F"/>
    <w:rsid w:val="00222B87"/>
    <w:rsid w:val="00222C92"/>
    <w:rsid w:val="002237EE"/>
    <w:rsid w:val="00224188"/>
    <w:rsid w:val="00224493"/>
    <w:rsid w:val="00225791"/>
    <w:rsid w:val="00225B73"/>
    <w:rsid w:val="00226A41"/>
    <w:rsid w:val="00227772"/>
    <w:rsid w:val="0023095B"/>
    <w:rsid w:val="00230E69"/>
    <w:rsid w:val="002314FD"/>
    <w:rsid w:val="00231B51"/>
    <w:rsid w:val="00234D7F"/>
    <w:rsid w:val="00235B5B"/>
    <w:rsid w:val="00235F72"/>
    <w:rsid w:val="00237399"/>
    <w:rsid w:val="0023749A"/>
    <w:rsid w:val="00242456"/>
    <w:rsid w:val="00245596"/>
    <w:rsid w:val="002462D0"/>
    <w:rsid w:val="0024775E"/>
    <w:rsid w:val="00250B2E"/>
    <w:rsid w:val="0025146C"/>
    <w:rsid w:val="002519CB"/>
    <w:rsid w:val="002536D0"/>
    <w:rsid w:val="00253CC2"/>
    <w:rsid w:val="00254D55"/>
    <w:rsid w:val="002554EF"/>
    <w:rsid w:val="00257B25"/>
    <w:rsid w:val="0026070D"/>
    <w:rsid w:val="0026104D"/>
    <w:rsid w:val="002617D3"/>
    <w:rsid w:val="00263AFE"/>
    <w:rsid w:val="00265172"/>
    <w:rsid w:val="00265AE4"/>
    <w:rsid w:val="00266257"/>
    <w:rsid w:val="00271311"/>
    <w:rsid w:val="0027137B"/>
    <w:rsid w:val="0027150D"/>
    <w:rsid w:val="00271DF3"/>
    <w:rsid w:val="00272631"/>
    <w:rsid w:val="002745E6"/>
    <w:rsid w:val="002753C1"/>
    <w:rsid w:val="00275B20"/>
    <w:rsid w:val="002772C0"/>
    <w:rsid w:val="0028117A"/>
    <w:rsid w:val="0028328E"/>
    <w:rsid w:val="0028382A"/>
    <w:rsid w:val="00283A5E"/>
    <w:rsid w:val="00284DD8"/>
    <w:rsid w:val="002851CC"/>
    <w:rsid w:val="0028525E"/>
    <w:rsid w:val="00285E8D"/>
    <w:rsid w:val="002867C9"/>
    <w:rsid w:val="00286DD5"/>
    <w:rsid w:val="002874B9"/>
    <w:rsid w:val="00290213"/>
    <w:rsid w:val="00291FDE"/>
    <w:rsid w:val="00292398"/>
    <w:rsid w:val="00293649"/>
    <w:rsid w:val="00293D54"/>
    <w:rsid w:val="00295C2E"/>
    <w:rsid w:val="002962EC"/>
    <w:rsid w:val="00297DF8"/>
    <w:rsid w:val="002A0579"/>
    <w:rsid w:val="002A11D0"/>
    <w:rsid w:val="002A24C4"/>
    <w:rsid w:val="002A4A48"/>
    <w:rsid w:val="002A5934"/>
    <w:rsid w:val="002A5B6E"/>
    <w:rsid w:val="002A5D8E"/>
    <w:rsid w:val="002A5EED"/>
    <w:rsid w:val="002A7240"/>
    <w:rsid w:val="002A77DD"/>
    <w:rsid w:val="002A7D9F"/>
    <w:rsid w:val="002B0653"/>
    <w:rsid w:val="002B07C0"/>
    <w:rsid w:val="002B2860"/>
    <w:rsid w:val="002B3EED"/>
    <w:rsid w:val="002B4305"/>
    <w:rsid w:val="002C1206"/>
    <w:rsid w:val="002C1C6B"/>
    <w:rsid w:val="002C2FBB"/>
    <w:rsid w:val="002C32FA"/>
    <w:rsid w:val="002C48A3"/>
    <w:rsid w:val="002C6158"/>
    <w:rsid w:val="002C70D4"/>
    <w:rsid w:val="002C7FA1"/>
    <w:rsid w:val="002D0606"/>
    <w:rsid w:val="002D0B10"/>
    <w:rsid w:val="002D21C1"/>
    <w:rsid w:val="002D4506"/>
    <w:rsid w:val="002D60F5"/>
    <w:rsid w:val="002D699C"/>
    <w:rsid w:val="002D7489"/>
    <w:rsid w:val="002D78C3"/>
    <w:rsid w:val="002D7FDD"/>
    <w:rsid w:val="002E0AAC"/>
    <w:rsid w:val="002E1EE1"/>
    <w:rsid w:val="002E232A"/>
    <w:rsid w:val="002E2FBE"/>
    <w:rsid w:val="002E3930"/>
    <w:rsid w:val="002E3E91"/>
    <w:rsid w:val="002E472C"/>
    <w:rsid w:val="002E5523"/>
    <w:rsid w:val="002E6843"/>
    <w:rsid w:val="002E7131"/>
    <w:rsid w:val="002F073E"/>
    <w:rsid w:val="002F08F9"/>
    <w:rsid w:val="002F28D7"/>
    <w:rsid w:val="002F341E"/>
    <w:rsid w:val="002F3744"/>
    <w:rsid w:val="002F3E52"/>
    <w:rsid w:val="0030008A"/>
    <w:rsid w:val="00300F2D"/>
    <w:rsid w:val="00304514"/>
    <w:rsid w:val="003048EC"/>
    <w:rsid w:val="00305080"/>
    <w:rsid w:val="0030548F"/>
    <w:rsid w:val="0031284D"/>
    <w:rsid w:val="0031403A"/>
    <w:rsid w:val="00315C7E"/>
    <w:rsid w:val="003169A4"/>
    <w:rsid w:val="0031737B"/>
    <w:rsid w:val="00320878"/>
    <w:rsid w:val="00322810"/>
    <w:rsid w:val="003241CC"/>
    <w:rsid w:val="003247B7"/>
    <w:rsid w:val="00325CB1"/>
    <w:rsid w:val="003269C1"/>
    <w:rsid w:val="00326FC0"/>
    <w:rsid w:val="003270B3"/>
    <w:rsid w:val="00332582"/>
    <w:rsid w:val="00332642"/>
    <w:rsid w:val="003327F8"/>
    <w:rsid w:val="00334499"/>
    <w:rsid w:val="00334FBD"/>
    <w:rsid w:val="0033566C"/>
    <w:rsid w:val="00335E59"/>
    <w:rsid w:val="0033751E"/>
    <w:rsid w:val="003407B8"/>
    <w:rsid w:val="00340B5B"/>
    <w:rsid w:val="00340D9A"/>
    <w:rsid w:val="00341669"/>
    <w:rsid w:val="003428B6"/>
    <w:rsid w:val="00342AD4"/>
    <w:rsid w:val="00344026"/>
    <w:rsid w:val="003451CB"/>
    <w:rsid w:val="003458F9"/>
    <w:rsid w:val="00345976"/>
    <w:rsid w:val="00345EA9"/>
    <w:rsid w:val="00345F48"/>
    <w:rsid w:val="003464C5"/>
    <w:rsid w:val="00347BB4"/>
    <w:rsid w:val="003503A0"/>
    <w:rsid w:val="0035090E"/>
    <w:rsid w:val="00351080"/>
    <w:rsid w:val="003525D5"/>
    <w:rsid w:val="00355DC6"/>
    <w:rsid w:val="00356AEF"/>
    <w:rsid w:val="003574BB"/>
    <w:rsid w:val="00357765"/>
    <w:rsid w:val="00357AA5"/>
    <w:rsid w:val="00361212"/>
    <w:rsid w:val="00365923"/>
    <w:rsid w:val="00365A3B"/>
    <w:rsid w:val="00367102"/>
    <w:rsid w:val="0037154A"/>
    <w:rsid w:val="00371F7E"/>
    <w:rsid w:val="0037236B"/>
    <w:rsid w:val="00372891"/>
    <w:rsid w:val="00372D9D"/>
    <w:rsid w:val="0037330A"/>
    <w:rsid w:val="00373F85"/>
    <w:rsid w:val="00374C5C"/>
    <w:rsid w:val="00374ED6"/>
    <w:rsid w:val="00374F0C"/>
    <w:rsid w:val="00375505"/>
    <w:rsid w:val="00375945"/>
    <w:rsid w:val="00375C8A"/>
    <w:rsid w:val="003778AE"/>
    <w:rsid w:val="003801EE"/>
    <w:rsid w:val="00381D1B"/>
    <w:rsid w:val="00382615"/>
    <w:rsid w:val="00382636"/>
    <w:rsid w:val="003830E9"/>
    <w:rsid w:val="00387D70"/>
    <w:rsid w:val="003900C0"/>
    <w:rsid w:val="003910D3"/>
    <w:rsid w:val="003918AE"/>
    <w:rsid w:val="00392E10"/>
    <w:rsid w:val="00392FD6"/>
    <w:rsid w:val="00395020"/>
    <w:rsid w:val="003A026D"/>
    <w:rsid w:val="003A1271"/>
    <w:rsid w:val="003A1548"/>
    <w:rsid w:val="003A4990"/>
    <w:rsid w:val="003A4C95"/>
    <w:rsid w:val="003A6BB2"/>
    <w:rsid w:val="003A6FBA"/>
    <w:rsid w:val="003A785A"/>
    <w:rsid w:val="003B132E"/>
    <w:rsid w:val="003B484C"/>
    <w:rsid w:val="003B6399"/>
    <w:rsid w:val="003B67AD"/>
    <w:rsid w:val="003B7564"/>
    <w:rsid w:val="003B7F3B"/>
    <w:rsid w:val="003C1F0B"/>
    <w:rsid w:val="003C25A5"/>
    <w:rsid w:val="003C2AA1"/>
    <w:rsid w:val="003C3E21"/>
    <w:rsid w:val="003C3E79"/>
    <w:rsid w:val="003C5381"/>
    <w:rsid w:val="003C5A45"/>
    <w:rsid w:val="003D1411"/>
    <w:rsid w:val="003D2BD2"/>
    <w:rsid w:val="003D48B3"/>
    <w:rsid w:val="003D6381"/>
    <w:rsid w:val="003D63F6"/>
    <w:rsid w:val="003D6E51"/>
    <w:rsid w:val="003D6F98"/>
    <w:rsid w:val="003D71D2"/>
    <w:rsid w:val="003D7E8C"/>
    <w:rsid w:val="003E088A"/>
    <w:rsid w:val="003E0BC4"/>
    <w:rsid w:val="003E12A9"/>
    <w:rsid w:val="003E21E4"/>
    <w:rsid w:val="003E2911"/>
    <w:rsid w:val="003E2CF2"/>
    <w:rsid w:val="003E2DF9"/>
    <w:rsid w:val="003E351C"/>
    <w:rsid w:val="003E388E"/>
    <w:rsid w:val="003E3DD4"/>
    <w:rsid w:val="003E43A7"/>
    <w:rsid w:val="003E49B2"/>
    <w:rsid w:val="003E5DC1"/>
    <w:rsid w:val="003E6673"/>
    <w:rsid w:val="003E6D9B"/>
    <w:rsid w:val="003E6E6E"/>
    <w:rsid w:val="003E7117"/>
    <w:rsid w:val="003E77C7"/>
    <w:rsid w:val="003F0787"/>
    <w:rsid w:val="003F3393"/>
    <w:rsid w:val="003F3931"/>
    <w:rsid w:val="003F59C5"/>
    <w:rsid w:val="003F5A04"/>
    <w:rsid w:val="003F6308"/>
    <w:rsid w:val="003F708A"/>
    <w:rsid w:val="00402058"/>
    <w:rsid w:val="0040344F"/>
    <w:rsid w:val="00403EDA"/>
    <w:rsid w:val="0040473C"/>
    <w:rsid w:val="00404947"/>
    <w:rsid w:val="00405776"/>
    <w:rsid w:val="0040593B"/>
    <w:rsid w:val="00405F69"/>
    <w:rsid w:val="00406827"/>
    <w:rsid w:val="00407935"/>
    <w:rsid w:val="00411546"/>
    <w:rsid w:val="004118E7"/>
    <w:rsid w:val="004118E9"/>
    <w:rsid w:val="00411AB5"/>
    <w:rsid w:val="00411E71"/>
    <w:rsid w:val="00412009"/>
    <w:rsid w:val="00412835"/>
    <w:rsid w:val="004138DC"/>
    <w:rsid w:val="004146E6"/>
    <w:rsid w:val="00414EB9"/>
    <w:rsid w:val="00414EDC"/>
    <w:rsid w:val="00414F40"/>
    <w:rsid w:val="0041525D"/>
    <w:rsid w:val="00415540"/>
    <w:rsid w:val="00415951"/>
    <w:rsid w:val="0041611D"/>
    <w:rsid w:val="00416156"/>
    <w:rsid w:val="00416525"/>
    <w:rsid w:val="00416766"/>
    <w:rsid w:val="004168D3"/>
    <w:rsid w:val="00417FA3"/>
    <w:rsid w:val="0042076B"/>
    <w:rsid w:val="0042079E"/>
    <w:rsid w:val="00420900"/>
    <w:rsid w:val="00420C68"/>
    <w:rsid w:val="00421910"/>
    <w:rsid w:val="00424BC6"/>
    <w:rsid w:val="00425CF1"/>
    <w:rsid w:val="0043131B"/>
    <w:rsid w:val="00431AF2"/>
    <w:rsid w:val="0043207D"/>
    <w:rsid w:val="00432C01"/>
    <w:rsid w:val="004366FF"/>
    <w:rsid w:val="004406C9"/>
    <w:rsid w:val="00442349"/>
    <w:rsid w:val="004426A2"/>
    <w:rsid w:val="00443C2A"/>
    <w:rsid w:val="004447A1"/>
    <w:rsid w:val="004462CD"/>
    <w:rsid w:val="00451519"/>
    <w:rsid w:val="00451BC2"/>
    <w:rsid w:val="0045242F"/>
    <w:rsid w:val="00452810"/>
    <w:rsid w:val="0045384B"/>
    <w:rsid w:val="00454D84"/>
    <w:rsid w:val="00455246"/>
    <w:rsid w:val="00456845"/>
    <w:rsid w:val="00456A94"/>
    <w:rsid w:val="004573AF"/>
    <w:rsid w:val="004606E9"/>
    <w:rsid w:val="00461CD2"/>
    <w:rsid w:val="004624E2"/>
    <w:rsid w:val="0046266F"/>
    <w:rsid w:val="0046589F"/>
    <w:rsid w:val="00466F66"/>
    <w:rsid w:val="00467955"/>
    <w:rsid w:val="00470600"/>
    <w:rsid w:val="0047173A"/>
    <w:rsid w:val="00472C6C"/>
    <w:rsid w:val="00473E70"/>
    <w:rsid w:val="0047428E"/>
    <w:rsid w:val="00474921"/>
    <w:rsid w:val="00475614"/>
    <w:rsid w:val="0047575C"/>
    <w:rsid w:val="00476796"/>
    <w:rsid w:val="0048368E"/>
    <w:rsid w:val="004843C6"/>
    <w:rsid w:val="004846B2"/>
    <w:rsid w:val="0048551A"/>
    <w:rsid w:val="00486227"/>
    <w:rsid w:val="00490F97"/>
    <w:rsid w:val="0049149D"/>
    <w:rsid w:val="0049319A"/>
    <w:rsid w:val="004959E8"/>
    <w:rsid w:val="004976E0"/>
    <w:rsid w:val="00497D9F"/>
    <w:rsid w:val="00497F16"/>
    <w:rsid w:val="004A0ECC"/>
    <w:rsid w:val="004A1F71"/>
    <w:rsid w:val="004A246A"/>
    <w:rsid w:val="004A2684"/>
    <w:rsid w:val="004A27DA"/>
    <w:rsid w:val="004A287B"/>
    <w:rsid w:val="004A332B"/>
    <w:rsid w:val="004A55E1"/>
    <w:rsid w:val="004A5978"/>
    <w:rsid w:val="004A7772"/>
    <w:rsid w:val="004B2718"/>
    <w:rsid w:val="004B2D06"/>
    <w:rsid w:val="004B34B0"/>
    <w:rsid w:val="004B3C70"/>
    <w:rsid w:val="004B54C0"/>
    <w:rsid w:val="004C1F9B"/>
    <w:rsid w:val="004C2466"/>
    <w:rsid w:val="004C3271"/>
    <w:rsid w:val="004C3F9D"/>
    <w:rsid w:val="004C407A"/>
    <w:rsid w:val="004C4365"/>
    <w:rsid w:val="004C62D1"/>
    <w:rsid w:val="004C6303"/>
    <w:rsid w:val="004D1896"/>
    <w:rsid w:val="004D1EAB"/>
    <w:rsid w:val="004D21FE"/>
    <w:rsid w:val="004D3DD7"/>
    <w:rsid w:val="004D5119"/>
    <w:rsid w:val="004D57B8"/>
    <w:rsid w:val="004D6666"/>
    <w:rsid w:val="004D6916"/>
    <w:rsid w:val="004D6A08"/>
    <w:rsid w:val="004E00DF"/>
    <w:rsid w:val="004E05F2"/>
    <w:rsid w:val="004E1A0A"/>
    <w:rsid w:val="004E2703"/>
    <w:rsid w:val="004E4B01"/>
    <w:rsid w:val="004E56A2"/>
    <w:rsid w:val="004E6421"/>
    <w:rsid w:val="004E6C57"/>
    <w:rsid w:val="004F09A1"/>
    <w:rsid w:val="004F7061"/>
    <w:rsid w:val="00500846"/>
    <w:rsid w:val="00500DF5"/>
    <w:rsid w:val="00501AB5"/>
    <w:rsid w:val="00501F5E"/>
    <w:rsid w:val="005024B6"/>
    <w:rsid w:val="00503CE1"/>
    <w:rsid w:val="00504D51"/>
    <w:rsid w:val="00505573"/>
    <w:rsid w:val="00505EAB"/>
    <w:rsid w:val="005072A5"/>
    <w:rsid w:val="0051067B"/>
    <w:rsid w:val="0051092B"/>
    <w:rsid w:val="00512751"/>
    <w:rsid w:val="00512BAD"/>
    <w:rsid w:val="00512F03"/>
    <w:rsid w:val="00513892"/>
    <w:rsid w:val="0051402E"/>
    <w:rsid w:val="005153BC"/>
    <w:rsid w:val="0051575A"/>
    <w:rsid w:val="00520D7A"/>
    <w:rsid w:val="0052107B"/>
    <w:rsid w:val="005235D3"/>
    <w:rsid w:val="005236F9"/>
    <w:rsid w:val="00523EB6"/>
    <w:rsid w:val="00526CDE"/>
    <w:rsid w:val="00526F17"/>
    <w:rsid w:val="00531728"/>
    <w:rsid w:val="00532D9B"/>
    <w:rsid w:val="00532FCE"/>
    <w:rsid w:val="0053479A"/>
    <w:rsid w:val="00534B77"/>
    <w:rsid w:val="0053656C"/>
    <w:rsid w:val="00540D4F"/>
    <w:rsid w:val="00541E7F"/>
    <w:rsid w:val="005420E2"/>
    <w:rsid w:val="0054253B"/>
    <w:rsid w:val="005428DE"/>
    <w:rsid w:val="00542E0C"/>
    <w:rsid w:val="00544368"/>
    <w:rsid w:val="00546DBF"/>
    <w:rsid w:val="005515D7"/>
    <w:rsid w:val="005538A8"/>
    <w:rsid w:val="00553FDC"/>
    <w:rsid w:val="00555588"/>
    <w:rsid w:val="00556D0F"/>
    <w:rsid w:val="00560542"/>
    <w:rsid w:val="00560A6E"/>
    <w:rsid w:val="00561C6D"/>
    <w:rsid w:val="00561C88"/>
    <w:rsid w:val="00562F81"/>
    <w:rsid w:val="00564071"/>
    <w:rsid w:val="005640B1"/>
    <w:rsid w:val="00564BB6"/>
    <w:rsid w:val="00570A83"/>
    <w:rsid w:val="00570F5C"/>
    <w:rsid w:val="0057107A"/>
    <w:rsid w:val="00571FFF"/>
    <w:rsid w:val="00572696"/>
    <w:rsid w:val="005736BD"/>
    <w:rsid w:val="00574661"/>
    <w:rsid w:val="00574A00"/>
    <w:rsid w:val="00574C25"/>
    <w:rsid w:val="00574C2F"/>
    <w:rsid w:val="0057565C"/>
    <w:rsid w:val="005771F1"/>
    <w:rsid w:val="00577354"/>
    <w:rsid w:val="00580324"/>
    <w:rsid w:val="005808D1"/>
    <w:rsid w:val="00581157"/>
    <w:rsid w:val="00581835"/>
    <w:rsid w:val="005839D4"/>
    <w:rsid w:val="005844C1"/>
    <w:rsid w:val="00584BC3"/>
    <w:rsid w:val="005857F1"/>
    <w:rsid w:val="005864FB"/>
    <w:rsid w:val="0058687B"/>
    <w:rsid w:val="00590E39"/>
    <w:rsid w:val="00592B07"/>
    <w:rsid w:val="00593628"/>
    <w:rsid w:val="00594D6A"/>
    <w:rsid w:val="0059509A"/>
    <w:rsid w:val="00595849"/>
    <w:rsid w:val="00597957"/>
    <w:rsid w:val="005A0011"/>
    <w:rsid w:val="005A0A9B"/>
    <w:rsid w:val="005A1F38"/>
    <w:rsid w:val="005A2482"/>
    <w:rsid w:val="005A3041"/>
    <w:rsid w:val="005A479E"/>
    <w:rsid w:val="005A5A13"/>
    <w:rsid w:val="005A6067"/>
    <w:rsid w:val="005A70B6"/>
    <w:rsid w:val="005A7698"/>
    <w:rsid w:val="005B016D"/>
    <w:rsid w:val="005B0606"/>
    <w:rsid w:val="005B0D57"/>
    <w:rsid w:val="005B504A"/>
    <w:rsid w:val="005B5294"/>
    <w:rsid w:val="005B5754"/>
    <w:rsid w:val="005B68F2"/>
    <w:rsid w:val="005B6D4A"/>
    <w:rsid w:val="005B7927"/>
    <w:rsid w:val="005C0AB7"/>
    <w:rsid w:val="005C0AFC"/>
    <w:rsid w:val="005C0DC8"/>
    <w:rsid w:val="005C0EA5"/>
    <w:rsid w:val="005C0FFA"/>
    <w:rsid w:val="005C308F"/>
    <w:rsid w:val="005C4082"/>
    <w:rsid w:val="005C4582"/>
    <w:rsid w:val="005C4EEC"/>
    <w:rsid w:val="005C5C1E"/>
    <w:rsid w:val="005C628B"/>
    <w:rsid w:val="005C6B84"/>
    <w:rsid w:val="005C73B4"/>
    <w:rsid w:val="005D0E9D"/>
    <w:rsid w:val="005D11F8"/>
    <w:rsid w:val="005D26FB"/>
    <w:rsid w:val="005D50E2"/>
    <w:rsid w:val="005D657A"/>
    <w:rsid w:val="005D7D0B"/>
    <w:rsid w:val="005E0045"/>
    <w:rsid w:val="005E1F7C"/>
    <w:rsid w:val="005E2BD5"/>
    <w:rsid w:val="005E3297"/>
    <w:rsid w:val="005E349C"/>
    <w:rsid w:val="005E3CF5"/>
    <w:rsid w:val="005E3E96"/>
    <w:rsid w:val="005E58E9"/>
    <w:rsid w:val="005E61C3"/>
    <w:rsid w:val="005E6640"/>
    <w:rsid w:val="005E7142"/>
    <w:rsid w:val="005F1396"/>
    <w:rsid w:val="005F1CCF"/>
    <w:rsid w:val="005F2311"/>
    <w:rsid w:val="005F2359"/>
    <w:rsid w:val="005F38A5"/>
    <w:rsid w:val="005F55EB"/>
    <w:rsid w:val="005F69B7"/>
    <w:rsid w:val="005F6F51"/>
    <w:rsid w:val="00600CA5"/>
    <w:rsid w:val="00601345"/>
    <w:rsid w:val="00601C7F"/>
    <w:rsid w:val="00601F7D"/>
    <w:rsid w:val="0060203F"/>
    <w:rsid w:val="006033B4"/>
    <w:rsid w:val="006044DA"/>
    <w:rsid w:val="00604713"/>
    <w:rsid w:val="006054F8"/>
    <w:rsid w:val="006056D2"/>
    <w:rsid w:val="00607D3E"/>
    <w:rsid w:val="0061167B"/>
    <w:rsid w:val="00614F52"/>
    <w:rsid w:val="00615EF0"/>
    <w:rsid w:val="00616A2C"/>
    <w:rsid w:val="00617394"/>
    <w:rsid w:val="00617CEC"/>
    <w:rsid w:val="00621715"/>
    <w:rsid w:val="00621AD9"/>
    <w:rsid w:val="00622C64"/>
    <w:rsid w:val="00623ED0"/>
    <w:rsid w:val="00624307"/>
    <w:rsid w:val="00625EBA"/>
    <w:rsid w:val="006260BF"/>
    <w:rsid w:val="00626298"/>
    <w:rsid w:val="00626651"/>
    <w:rsid w:val="00626811"/>
    <w:rsid w:val="00627596"/>
    <w:rsid w:val="00630795"/>
    <w:rsid w:val="00631135"/>
    <w:rsid w:val="00631BC5"/>
    <w:rsid w:val="00632962"/>
    <w:rsid w:val="00632E45"/>
    <w:rsid w:val="0063317D"/>
    <w:rsid w:val="00634081"/>
    <w:rsid w:val="0063468B"/>
    <w:rsid w:val="0063499B"/>
    <w:rsid w:val="0063677C"/>
    <w:rsid w:val="00637A00"/>
    <w:rsid w:val="00640861"/>
    <w:rsid w:val="00640B6B"/>
    <w:rsid w:val="00641692"/>
    <w:rsid w:val="00641D90"/>
    <w:rsid w:val="00641E15"/>
    <w:rsid w:val="00642779"/>
    <w:rsid w:val="00644216"/>
    <w:rsid w:val="00646ACC"/>
    <w:rsid w:val="00647211"/>
    <w:rsid w:val="006509B9"/>
    <w:rsid w:val="00650E16"/>
    <w:rsid w:val="00652BE1"/>
    <w:rsid w:val="00652E42"/>
    <w:rsid w:val="006543B2"/>
    <w:rsid w:val="00656990"/>
    <w:rsid w:val="00656A1D"/>
    <w:rsid w:val="00656B5F"/>
    <w:rsid w:val="006571DB"/>
    <w:rsid w:val="00657B73"/>
    <w:rsid w:val="00663AC3"/>
    <w:rsid w:val="00664A0D"/>
    <w:rsid w:val="00666FBA"/>
    <w:rsid w:val="00667111"/>
    <w:rsid w:val="00667672"/>
    <w:rsid w:val="00667FB0"/>
    <w:rsid w:val="006700A2"/>
    <w:rsid w:val="00670908"/>
    <w:rsid w:val="00671DF6"/>
    <w:rsid w:val="006735CA"/>
    <w:rsid w:val="0067402F"/>
    <w:rsid w:val="00674077"/>
    <w:rsid w:val="0067504B"/>
    <w:rsid w:val="006760CF"/>
    <w:rsid w:val="00676D5C"/>
    <w:rsid w:val="00681529"/>
    <w:rsid w:val="00682220"/>
    <w:rsid w:val="00682379"/>
    <w:rsid w:val="006825E7"/>
    <w:rsid w:val="00682647"/>
    <w:rsid w:val="00682F62"/>
    <w:rsid w:val="0068401A"/>
    <w:rsid w:val="00684060"/>
    <w:rsid w:val="00684DBF"/>
    <w:rsid w:val="0068796A"/>
    <w:rsid w:val="006905F6"/>
    <w:rsid w:val="00690D4F"/>
    <w:rsid w:val="006919A6"/>
    <w:rsid w:val="0069260B"/>
    <w:rsid w:val="006930B2"/>
    <w:rsid w:val="00693BB9"/>
    <w:rsid w:val="006941AF"/>
    <w:rsid w:val="00694E7C"/>
    <w:rsid w:val="00695D1F"/>
    <w:rsid w:val="0069777A"/>
    <w:rsid w:val="00697BF1"/>
    <w:rsid w:val="006A0075"/>
    <w:rsid w:val="006A1210"/>
    <w:rsid w:val="006A18C0"/>
    <w:rsid w:val="006A205F"/>
    <w:rsid w:val="006A3CA2"/>
    <w:rsid w:val="006A4796"/>
    <w:rsid w:val="006A5197"/>
    <w:rsid w:val="006A5E93"/>
    <w:rsid w:val="006A7BF8"/>
    <w:rsid w:val="006A7FD2"/>
    <w:rsid w:val="006B08DB"/>
    <w:rsid w:val="006B0965"/>
    <w:rsid w:val="006B0B30"/>
    <w:rsid w:val="006B21F5"/>
    <w:rsid w:val="006B2C96"/>
    <w:rsid w:val="006B3128"/>
    <w:rsid w:val="006B5287"/>
    <w:rsid w:val="006B63EF"/>
    <w:rsid w:val="006B64E3"/>
    <w:rsid w:val="006B6B89"/>
    <w:rsid w:val="006B7462"/>
    <w:rsid w:val="006C0407"/>
    <w:rsid w:val="006C0D90"/>
    <w:rsid w:val="006C14E3"/>
    <w:rsid w:val="006C1694"/>
    <w:rsid w:val="006C20F5"/>
    <w:rsid w:val="006C3DAC"/>
    <w:rsid w:val="006C3FAE"/>
    <w:rsid w:val="006C6644"/>
    <w:rsid w:val="006C71D9"/>
    <w:rsid w:val="006C7377"/>
    <w:rsid w:val="006C75E2"/>
    <w:rsid w:val="006D12B5"/>
    <w:rsid w:val="006D220B"/>
    <w:rsid w:val="006D24CD"/>
    <w:rsid w:val="006D330C"/>
    <w:rsid w:val="006D453C"/>
    <w:rsid w:val="006D4709"/>
    <w:rsid w:val="006D7628"/>
    <w:rsid w:val="006D79F4"/>
    <w:rsid w:val="006E12AC"/>
    <w:rsid w:val="006E231F"/>
    <w:rsid w:val="006E2652"/>
    <w:rsid w:val="006E2758"/>
    <w:rsid w:val="006E2E56"/>
    <w:rsid w:val="006E31AB"/>
    <w:rsid w:val="006E479F"/>
    <w:rsid w:val="006E6B21"/>
    <w:rsid w:val="006E77A0"/>
    <w:rsid w:val="006F06CF"/>
    <w:rsid w:val="006F0FD5"/>
    <w:rsid w:val="006F50FA"/>
    <w:rsid w:val="006F58BD"/>
    <w:rsid w:val="006F7BB4"/>
    <w:rsid w:val="006F7CE6"/>
    <w:rsid w:val="006F7ECB"/>
    <w:rsid w:val="00702182"/>
    <w:rsid w:val="00702D98"/>
    <w:rsid w:val="00705796"/>
    <w:rsid w:val="00706DC3"/>
    <w:rsid w:val="0070721F"/>
    <w:rsid w:val="00710C34"/>
    <w:rsid w:val="00711F01"/>
    <w:rsid w:val="00712203"/>
    <w:rsid w:val="0071266C"/>
    <w:rsid w:val="00713E82"/>
    <w:rsid w:val="007145AD"/>
    <w:rsid w:val="00714886"/>
    <w:rsid w:val="00715763"/>
    <w:rsid w:val="00715E5B"/>
    <w:rsid w:val="00716329"/>
    <w:rsid w:val="00716FE3"/>
    <w:rsid w:val="007173DD"/>
    <w:rsid w:val="0071772D"/>
    <w:rsid w:val="00720591"/>
    <w:rsid w:val="00721A9E"/>
    <w:rsid w:val="0072292C"/>
    <w:rsid w:val="0072351F"/>
    <w:rsid w:val="00724FCD"/>
    <w:rsid w:val="007252BD"/>
    <w:rsid w:val="00726D25"/>
    <w:rsid w:val="00726D45"/>
    <w:rsid w:val="0072708C"/>
    <w:rsid w:val="00730288"/>
    <w:rsid w:val="00731D73"/>
    <w:rsid w:val="007344E9"/>
    <w:rsid w:val="00735675"/>
    <w:rsid w:val="00735845"/>
    <w:rsid w:val="00735A40"/>
    <w:rsid w:val="00737133"/>
    <w:rsid w:val="007376D4"/>
    <w:rsid w:val="00740BD0"/>
    <w:rsid w:val="00740CA1"/>
    <w:rsid w:val="007411B6"/>
    <w:rsid w:val="00741B00"/>
    <w:rsid w:val="00741F98"/>
    <w:rsid w:val="007421B0"/>
    <w:rsid w:val="00743625"/>
    <w:rsid w:val="0074409E"/>
    <w:rsid w:val="00744B54"/>
    <w:rsid w:val="007462C4"/>
    <w:rsid w:val="00747702"/>
    <w:rsid w:val="00747AE8"/>
    <w:rsid w:val="007527D2"/>
    <w:rsid w:val="00752AF9"/>
    <w:rsid w:val="00752C6D"/>
    <w:rsid w:val="00754FA5"/>
    <w:rsid w:val="007633E7"/>
    <w:rsid w:val="00764BCC"/>
    <w:rsid w:val="00764E8B"/>
    <w:rsid w:val="007652E8"/>
    <w:rsid w:val="00765610"/>
    <w:rsid w:val="007671A2"/>
    <w:rsid w:val="00767ACC"/>
    <w:rsid w:val="00770121"/>
    <w:rsid w:val="00770C35"/>
    <w:rsid w:val="00770CD3"/>
    <w:rsid w:val="00773727"/>
    <w:rsid w:val="0077591F"/>
    <w:rsid w:val="00776A8F"/>
    <w:rsid w:val="00776AB5"/>
    <w:rsid w:val="007773A3"/>
    <w:rsid w:val="007776BE"/>
    <w:rsid w:val="00777F5E"/>
    <w:rsid w:val="0078222A"/>
    <w:rsid w:val="007904BB"/>
    <w:rsid w:val="007910E0"/>
    <w:rsid w:val="007911E6"/>
    <w:rsid w:val="0079134F"/>
    <w:rsid w:val="00791C0A"/>
    <w:rsid w:val="00791FE2"/>
    <w:rsid w:val="0079323D"/>
    <w:rsid w:val="00793355"/>
    <w:rsid w:val="00793776"/>
    <w:rsid w:val="00795DA8"/>
    <w:rsid w:val="00796823"/>
    <w:rsid w:val="00796B22"/>
    <w:rsid w:val="0079759B"/>
    <w:rsid w:val="00797C50"/>
    <w:rsid w:val="007A006B"/>
    <w:rsid w:val="007A0233"/>
    <w:rsid w:val="007A0696"/>
    <w:rsid w:val="007A0BF5"/>
    <w:rsid w:val="007A20D7"/>
    <w:rsid w:val="007A2C12"/>
    <w:rsid w:val="007A2D5D"/>
    <w:rsid w:val="007A4B28"/>
    <w:rsid w:val="007A5789"/>
    <w:rsid w:val="007A62E2"/>
    <w:rsid w:val="007A66BD"/>
    <w:rsid w:val="007A6808"/>
    <w:rsid w:val="007A6ADE"/>
    <w:rsid w:val="007A6BFF"/>
    <w:rsid w:val="007B0038"/>
    <w:rsid w:val="007B3142"/>
    <w:rsid w:val="007B3152"/>
    <w:rsid w:val="007B394E"/>
    <w:rsid w:val="007B39ED"/>
    <w:rsid w:val="007B5284"/>
    <w:rsid w:val="007C08CF"/>
    <w:rsid w:val="007C1983"/>
    <w:rsid w:val="007C2CD5"/>
    <w:rsid w:val="007C2E8D"/>
    <w:rsid w:val="007C327F"/>
    <w:rsid w:val="007C4066"/>
    <w:rsid w:val="007C4999"/>
    <w:rsid w:val="007C4DF1"/>
    <w:rsid w:val="007D0175"/>
    <w:rsid w:val="007D11C1"/>
    <w:rsid w:val="007D2A53"/>
    <w:rsid w:val="007D544E"/>
    <w:rsid w:val="007D5729"/>
    <w:rsid w:val="007D68EA"/>
    <w:rsid w:val="007D72E4"/>
    <w:rsid w:val="007D7CAA"/>
    <w:rsid w:val="007D7CD4"/>
    <w:rsid w:val="007E0330"/>
    <w:rsid w:val="007E0A80"/>
    <w:rsid w:val="007E171C"/>
    <w:rsid w:val="007E203E"/>
    <w:rsid w:val="007E260E"/>
    <w:rsid w:val="007E36A3"/>
    <w:rsid w:val="007E4D22"/>
    <w:rsid w:val="007E54F5"/>
    <w:rsid w:val="007E5D65"/>
    <w:rsid w:val="007E608E"/>
    <w:rsid w:val="007E63B7"/>
    <w:rsid w:val="007E6A22"/>
    <w:rsid w:val="007E6DC9"/>
    <w:rsid w:val="007F04D7"/>
    <w:rsid w:val="007F38B3"/>
    <w:rsid w:val="007F48A3"/>
    <w:rsid w:val="007F4B1F"/>
    <w:rsid w:val="007F4C15"/>
    <w:rsid w:val="007F5B5A"/>
    <w:rsid w:val="007F5D67"/>
    <w:rsid w:val="007F5FEE"/>
    <w:rsid w:val="007F7BB4"/>
    <w:rsid w:val="007F7C0E"/>
    <w:rsid w:val="007F7F51"/>
    <w:rsid w:val="00802C81"/>
    <w:rsid w:val="00804703"/>
    <w:rsid w:val="00804CAB"/>
    <w:rsid w:val="00804CE4"/>
    <w:rsid w:val="00805CD1"/>
    <w:rsid w:val="008069D1"/>
    <w:rsid w:val="00806EEC"/>
    <w:rsid w:val="00807444"/>
    <w:rsid w:val="00807824"/>
    <w:rsid w:val="00807926"/>
    <w:rsid w:val="00807C4F"/>
    <w:rsid w:val="008102AA"/>
    <w:rsid w:val="008103BA"/>
    <w:rsid w:val="00810639"/>
    <w:rsid w:val="008113FE"/>
    <w:rsid w:val="00812287"/>
    <w:rsid w:val="0081249A"/>
    <w:rsid w:val="008139AF"/>
    <w:rsid w:val="00813BC6"/>
    <w:rsid w:val="008146A4"/>
    <w:rsid w:val="008146B6"/>
    <w:rsid w:val="0081573D"/>
    <w:rsid w:val="0081671C"/>
    <w:rsid w:val="00816985"/>
    <w:rsid w:val="0081747E"/>
    <w:rsid w:val="0082033F"/>
    <w:rsid w:val="008221BE"/>
    <w:rsid w:val="008234A2"/>
    <w:rsid w:val="00824EAF"/>
    <w:rsid w:val="0082519A"/>
    <w:rsid w:val="00826529"/>
    <w:rsid w:val="0082734B"/>
    <w:rsid w:val="00827767"/>
    <w:rsid w:val="00831CAA"/>
    <w:rsid w:val="008323F4"/>
    <w:rsid w:val="00832C8A"/>
    <w:rsid w:val="0083316F"/>
    <w:rsid w:val="00833677"/>
    <w:rsid w:val="00834682"/>
    <w:rsid w:val="00834A18"/>
    <w:rsid w:val="00835D74"/>
    <w:rsid w:val="008365D6"/>
    <w:rsid w:val="0083729D"/>
    <w:rsid w:val="0083771D"/>
    <w:rsid w:val="00837974"/>
    <w:rsid w:val="00837B39"/>
    <w:rsid w:val="00837EBE"/>
    <w:rsid w:val="008401CB"/>
    <w:rsid w:val="00841519"/>
    <w:rsid w:val="00842731"/>
    <w:rsid w:val="00842E95"/>
    <w:rsid w:val="00842F64"/>
    <w:rsid w:val="00845298"/>
    <w:rsid w:val="00845C32"/>
    <w:rsid w:val="0084768A"/>
    <w:rsid w:val="00850C5D"/>
    <w:rsid w:val="00851039"/>
    <w:rsid w:val="008528F2"/>
    <w:rsid w:val="008532A4"/>
    <w:rsid w:val="008538F7"/>
    <w:rsid w:val="00853FD3"/>
    <w:rsid w:val="00854420"/>
    <w:rsid w:val="00855AE0"/>
    <w:rsid w:val="00860B04"/>
    <w:rsid w:val="00861419"/>
    <w:rsid w:val="00862163"/>
    <w:rsid w:val="00862C62"/>
    <w:rsid w:val="00864283"/>
    <w:rsid w:val="0086457B"/>
    <w:rsid w:val="00865758"/>
    <w:rsid w:val="00865AA1"/>
    <w:rsid w:val="00866C14"/>
    <w:rsid w:val="008670A1"/>
    <w:rsid w:val="008673E7"/>
    <w:rsid w:val="0087047B"/>
    <w:rsid w:val="0087056A"/>
    <w:rsid w:val="00872320"/>
    <w:rsid w:val="0087276A"/>
    <w:rsid w:val="00874006"/>
    <w:rsid w:val="00876549"/>
    <w:rsid w:val="00877AB3"/>
    <w:rsid w:val="00880388"/>
    <w:rsid w:val="00880A87"/>
    <w:rsid w:val="00881BAB"/>
    <w:rsid w:val="00882812"/>
    <w:rsid w:val="008829D0"/>
    <w:rsid w:val="00882B42"/>
    <w:rsid w:val="00883179"/>
    <w:rsid w:val="00886520"/>
    <w:rsid w:val="00886F99"/>
    <w:rsid w:val="008911E5"/>
    <w:rsid w:val="008928C0"/>
    <w:rsid w:val="00896456"/>
    <w:rsid w:val="00897533"/>
    <w:rsid w:val="008979C2"/>
    <w:rsid w:val="00897E61"/>
    <w:rsid w:val="00897FE6"/>
    <w:rsid w:val="008A1078"/>
    <w:rsid w:val="008A28E3"/>
    <w:rsid w:val="008A373A"/>
    <w:rsid w:val="008A397B"/>
    <w:rsid w:val="008A4078"/>
    <w:rsid w:val="008A5040"/>
    <w:rsid w:val="008A512D"/>
    <w:rsid w:val="008A521C"/>
    <w:rsid w:val="008A52ED"/>
    <w:rsid w:val="008A5A3E"/>
    <w:rsid w:val="008A5D3C"/>
    <w:rsid w:val="008A60BB"/>
    <w:rsid w:val="008A7049"/>
    <w:rsid w:val="008A78A8"/>
    <w:rsid w:val="008A7A15"/>
    <w:rsid w:val="008A7EBF"/>
    <w:rsid w:val="008B114D"/>
    <w:rsid w:val="008B19A9"/>
    <w:rsid w:val="008B1C9C"/>
    <w:rsid w:val="008B1D97"/>
    <w:rsid w:val="008B1F14"/>
    <w:rsid w:val="008B254B"/>
    <w:rsid w:val="008B446D"/>
    <w:rsid w:val="008B6EC7"/>
    <w:rsid w:val="008B721F"/>
    <w:rsid w:val="008C07A9"/>
    <w:rsid w:val="008C268A"/>
    <w:rsid w:val="008C296D"/>
    <w:rsid w:val="008C624F"/>
    <w:rsid w:val="008C63B1"/>
    <w:rsid w:val="008C6871"/>
    <w:rsid w:val="008C692F"/>
    <w:rsid w:val="008C6FEE"/>
    <w:rsid w:val="008C76BB"/>
    <w:rsid w:val="008D293C"/>
    <w:rsid w:val="008D5796"/>
    <w:rsid w:val="008D5D01"/>
    <w:rsid w:val="008D5E90"/>
    <w:rsid w:val="008D6660"/>
    <w:rsid w:val="008E040E"/>
    <w:rsid w:val="008E1A22"/>
    <w:rsid w:val="008E284C"/>
    <w:rsid w:val="008E4116"/>
    <w:rsid w:val="008E59BE"/>
    <w:rsid w:val="008E5E8E"/>
    <w:rsid w:val="008E6DAE"/>
    <w:rsid w:val="008E77CC"/>
    <w:rsid w:val="008E7BD8"/>
    <w:rsid w:val="008F050C"/>
    <w:rsid w:val="008F1017"/>
    <w:rsid w:val="008F348A"/>
    <w:rsid w:val="008F352D"/>
    <w:rsid w:val="008F3918"/>
    <w:rsid w:val="008F4176"/>
    <w:rsid w:val="008F4AE4"/>
    <w:rsid w:val="008F4D3F"/>
    <w:rsid w:val="008F757D"/>
    <w:rsid w:val="008F769B"/>
    <w:rsid w:val="008F7C60"/>
    <w:rsid w:val="00900AD0"/>
    <w:rsid w:val="009013CF"/>
    <w:rsid w:val="00901933"/>
    <w:rsid w:val="00902351"/>
    <w:rsid w:val="009034C7"/>
    <w:rsid w:val="009060DD"/>
    <w:rsid w:val="00910159"/>
    <w:rsid w:val="009146A7"/>
    <w:rsid w:val="009149DD"/>
    <w:rsid w:val="00915098"/>
    <w:rsid w:val="0091656B"/>
    <w:rsid w:val="00916B9B"/>
    <w:rsid w:val="009171CE"/>
    <w:rsid w:val="009222D8"/>
    <w:rsid w:val="0092255F"/>
    <w:rsid w:val="00922DEE"/>
    <w:rsid w:val="00923089"/>
    <w:rsid w:val="00924611"/>
    <w:rsid w:val="00926074"/>
    <w:rsid w:val="00927E3B"/>
    <w:rsid w:val="00930181"/>
    <w:rsid w:val="0093172D"/>
    <w:rsid w:val="00931DBE"/>
    <w:rsid w:val="009329BB"/>
    <w:rsid w:val="009329DC"/>
    <w:rsid w:val="00934EDE"/>
    <w:rsid w:val="0093634B"/>
    <w:rsid w:val="00936B20"/>
    <w:rsid w:val="00937190"/>
    <w:rsid w:val="00940719"/>
    <w:rsid w:val="00940D8A"/>
    <w:rsid w:val="00941070"/>
    <w:rsid w:val="00941569"/>
    <w:rsid w:val="00942625"/>
    <w:rsid w:val="00944CB6"/>
    <w:rsid w:val="00947484"/>
    <w:rsid w:val="00950B8F"/>
    <w:rsid w:val="00951931"/>
    <w:rsid w:val="00952737"/>
    <w:rsid w:val="00953961"/>
    <w:rsid w:val="009539F8"/>
    <w:rsid w:val="00953A19"/>
    <w:rsid w:val="009550F4"/>
    <w:rsid w:val="00961C67"/>
    <w:rsid w:val="00963257"/>
    <w:rsid w:val="009633AC"/>
    <w:rsid w:val="00965AFE"/>
    <w:rsid w:val="00967C5F"/>
    <w:rsid w:val="009702E0"/>
    <w:rsid w:val="00970FB9"/>
    <w:rsid w:val="00971469"/>
    <w:rsid w:val="00972476"/>
    <w:rsid w:val="00972CDA"/>
    <w:rsid w:val="00972F7D"/>
    <w:rsid w:val="0097340C"/>
    <w:rsid w:val="009738F5"/>
    <w:rsid w:val="00974748"/>
    <w:rsid w:val="009753E4"/>
    <w:rsid w:val="009765A5"/>
    <w:rsid w:val="009766F3"/>
    <w:rsid w:val="00976F9E"/>
    <w:rsid w:val="00980CED"/>
    <w:rsid w:val="00980D87"/>
    <w:rsid w:val="009815BA"/>
    <w:rsid w:val="00982E89"/>
    <w:rsid w:val="00983313"/>
    <w:rsid w:val="009840CD"/>
    <w:rsid w:val="00984912"/>
    <w:rsid w:val="00984933"/>
    <w:rsid w:val="00985BA4"/>
    <w:rsid w:val="00986137"/>
    <w:rsid w:val="0098613A"/>
    <w:rsid w:val="00987203"/>
    <w:rsid w:val="00990417"/>
    <w:rsid w:val="0099428D"/>
    <w:rsid w:val="00996DCA"/>
    <w:rsid w:val="009970AE"/>
    <w:rsid w:val="009A1ED4"/>
    <w:rsid w:val="009A366E"/>
    <w:rsid w:val="009A3FBA"/>
    <w:rsid w:val="009A478C"/>
    <w:rsid w:val="009A5E59"/>
    <w:rsid w:val="009A66C9"/>
    <w:rsid w:val="009A7EFA"/>
    <w:rsid w:val="009B08D8"/>
    <w:rsid w:val="009B0D10"/>
    <w:rsid w:val="009B1416"/>
    <w:rsid w:val="009B166F"/>
    <w:rsid w:val="009B1BDF"/>
    <w:rsid w:val="009B46D5"/>
    <w:rsid w:val="009B4D48"/>
    <w:rsid w:val="009B6466"/>
    <w:rsid w:val="009B675F"/>
    <w:rsid w:val="009B75E3"/>
    <w:rsid w:val="009B763C"/>
    <w:rsid w:val="009B7CD5"/>
    <w:rsid w:val="009B7FC3"/>
    <w:rsid w:val="009C04A7"/>
    <w:rsid w:val="009C15F2"/>
    <w:rsid w:val="009C25C2"/>
    <w:rsid w:val="009C346E"/>
    <w:rsid w:val="009C3843"/>
    <w:rsid w:val="009C452D"/>
    <w:rsid w:val="009C6FDF"/>
    <w:rsid w:val="009C7359"/>
    <w:rsid w:val="009D0287"/>
    <w:rsid w:val="009D028F"/>
    <w:rsid w:val="009D1C4C"/>
    <w:rsid w:val="009D2518"/>
    <w:rsid w:val="009D30E0"/>
    <w:rsid w:val="009D3D23"/>
    <w:rsid w:val="009D5DAB"/>
    <w:rsid w:val="009D6778"/>
    <w:rsid w:val="009D7209"/>
    <w:rsid w:val="009D7CE5"/>
    <w:rsid w:val="009D7F85"/>
    <w:rsid w:val="009E2CC2"/>
    <w:rsid w:val="009E2DD5"/>
    <w:rsid w:val="009E4053"/>
    <w:rsid w:val="009E4306"/>
    <w:rsid w:val="009E4769"/>
    <w:rsid w:val="009E5CD0"/>
    <w:rsid w:val="009E6957"/>
    <w:rsid w:val="009E6CD6"/>
    <w:rsid w:val="009E7F74"/>
    <w:rsid w:val="009F04DA"/>
    <w:rsid w:val="009F0B9A"/>
    <w:rsid w:val="009F1587"/>
    <w:rsid w:val="009F1932"/>
    <w:rsid w:val="009F246A"/>
    <w:rsid w:val="009F24D8"/>
    <w:rsid w:val="009F2708"/>
    <w:rsid w:val="009F2E32"/>
    <w:rsid w:val="009F3AC6"/>
    <w:rsid w:val="009F5372"/>
    <w:rsid w:val="009F558C"/>
    <w:rsid w:val="009F5F01"/>
    <w:rsid w:val="009F6D1B"/>
    <w:rsid w:val="00A0119D"/>
    <w:rsid w:val="00A02343"/>
    <w:rsid w:val="00A02E5A"/>
    <w:rsid w:val="00A041E8"/>
    <w:rsid w:val="00A05138"/>
    <w:rsid w:val="00A05A62"/>
    <w:rsid w:val="00A05E62"/>
    <w:rsid w:val="00A06480"/>
    <w:rsid w:val="00A1124E"/>
    <w:rsid w:val="00A13E34"/>
    <w:rsid w:val="00A15A1D"/>
    <w:rsid w:val="00A15B69"/>
    <w:rsid w:val="00A15BB9"/>
    <w:rsid w:val="00A15D8B"/>
    <w:rsid w:val="00A162E6"/>
    <w:rsid w:val="00A1696D"/>
    <w:rsid w:val="00A17115"/>
    <w:rsid w:val="00A17203"/>
    <w:rsid w:val="00A1751B"/>
    <w:rsid w:val="00A179D0"/>
    <w:rsid w:val="00A17D82"/>
    <w:rsid w:val="00A204F8"/>
    <w:rsid w:val="00A222C6"/>
    <w:rsid w:val="00A237A8"/>
    <w:rsid w:val="00A2409C"/>
    <w:rsid w:val="00A25280"/>
    <w:rsid w:val="00A303CE"/>
    <w:rsid w:val="00A30EC1"/>
    <w:rsid w:val="00A311AB"/>
    <w:rsid w:val="00A31675"/>
    <w:rsid w:val="00A318D1"/>
    <w:rsid w:val="00A3228E"/>
    <w:rsid w:val="00A32FF8"/>
    <w:rsid w:val="00A3497B"/>
    <w:rsid w:val="00A34D11"/>
    <w:rsid w:val="00A35561"/>
    <w:rsid w:val="00A36505"/>
    <w:rsid w:val="00A36C5D"/>
    <w:rsid w:val="00A37699"/>
    <w:rsid w:val="00A410E4"/>
    <w:rsid w:val="00A430EE"/>
    <w:rsid w:val="00A43672"/>
    <w:rsid w:val="00A445AF"/>
    <w:rsid w:val="00A46B73"/>
    <w:rsid w:val="00A46D7B"/>
    <w:rsid w:val="00A46F57"/>
    <w:rsid w:val="00A504B2"/>
    <w:rsid w:val="00A511AD"/>
    <w:rsid w:val="00A51F69"/>
    <w:rsid w:val="00A52CAE"/>
    <w:rsid w:val="00A52E29"/>
    <w:rsid w:val="00A55FBA"/>
    <w:rsid w:val="00A5662E"/>
    <w:rsid w:val="00A573EB"/>
    <w:rsid w:val="00A57E2B"/>
    <w:rsid w:val="00A6028D"/>
    <w:rsid w:val="00A626AE"/>
    <w:rsid w:val="00A629AF"/>
    <w:rsid w:val="00A6438D"/>
    <w:rsid w:val="00A650DA"/>
    <w:rsid w:val="00A656DA"/>
    <w:rsid w:val="00A65B20"/>
    <w:rsid w:val="00A66D21"/>
    <w:rsid w:val="00A67C4D"/>
    <w:rsid w:val="00A67CD2"/>
    <w:rsid w:val="00A70EBA"/>
    <w:rsid w:val="00A72A4F"/>
    <w:rsid w:val="00A74DC0"/>
    <w:rsid w:val="00A7519B"/>
    <w:rsid w:val="00A75234"/>
    <w:rsid w:val="00A80179"/>
    <w:rsid w:val="00A80DA4"/>
    <w:rsid w:val="00A813DF"/>
    <w:rsid w:val="00A81D93"/>
    <w:rsid w:val="00A84473"/>
    <w:rsid w:val="00A85EAD"/>
    <w:rsid w:val="00A87FC4"/>
    <w:rsid w:val="00A91D18"/>
    <w:rsid w:val="00A91DA7"/>
    <w:rsid w:val="00A92A36"/>
    <w:rsid w:val="00A93C63"/>
    <w:rsid w:val="00A942F6"/>
    <w:rsid w:val="00A94DDC"/>
    <w:rsid w:val="00A95B34"/>
    <w:rsid w:val="00A961BB"/>
    <w:rsid w:val="00A97345"/>
    <w:rsid w:val="00A97360"/>
    <w:rsid w:val="00AA0515"/>
    <w:rsid w:val="00AA1C95"/>
    <w:rsid w:val="00AA2309"/>
    <w:rsid w:val="00AA2690"/>
    <w:rsid w:val="00AA297A"/>
    <w:rsid w:val="00AA347D"/>
    <w:rsid w:val="00AA3A5E"/>
    <w:rsid w:val="00AA3CA5"/>
    <w:rsid w:val="00AA4C5D"/>
    <w:rsid w:val="00AA5656"/>
    <w:rsid w:val="00AA5873"/>
    <w:rsid w:val="00AA5C48"/>
    <w:rsid w:val="00AA63A3"/>
    <w:rsid w:val="00AA7452"/>
    <w:rsid w:val="00AA7EB4"/>
    <w:rsid w:val="00AB0216"/>
    <w:rsid w:val="00AB15CC"/>
    <w:rsid w:val="00AB1E8F"/>
    <w:rsid w:val="00AB2E4B"/>
    <w:rsid w:val="00AB39FB"/>
    <w:rsid w:val="00AB3A41"/>
    <w:rsid w:val="00AB42EB"/>
    <w:rsid w:val="00AB45F7"/>
    <w:rsid w:val="00AB48BE"/>
    <w:rsid w:val="00AB56BF"/>
    <w:rsid w:val="00AB6122"/>
    <w:rsid w:val="00AB7538"/>
    <w:rsid w:val="00AB7CFF"/>
    <w:rsid w:val="00AC051D"/>
    <w:rsid w:val="00AC1113"/>
    <w:rsid w:val="00AC2938"/>
    <w:rsid w:val="00AC3826"/>
    <w:rsid w:val="00AC4415"/>
    <w:rsid w:val="00AC4AAF"/>
    <w:rsid w:val="00AC56A6"/>
    <w:rsid w:val="00AC5E0E"/>
    <w:rsid w:val="00AC65D1"/>
    <w:rsid w:val="00AC66F6"/>
    <w:rsid w:val="00AC7216"/>
    <w:rsid w:val="00AC7238"/>
    <w:rsid w:val="00AC7929"/>
    <w:rsid w:val="00AC7A70"/>
    <w:rsid w:val="00AC7B6A"/>
    <w:rsid w:val="00AD0BCF"/>
    <w:rsid w:val="00AD2295"/>
    <w:rsid w:val="00AD46F3"/>
    <w:rsid w:val="00AD470D"/>
    <w:rsid w:val="00AD536C"/>
    <w:rsid w:val="00AD5919"/>
    <w:rsid w:val="00AD5F75"/>
    <w:rsid w:val="00AE06B6"/>
    <w:rsid w:val="00AE0884"/>
    <w:rsid w:val="00AE1F5B"/>
    <w:rsid w:val="00AE202B"/>
    <w:rsid w:val="00AE20D3"/>
    <w:rsid w:val="00AE20DE"/>
    <w:rsid w:val="00AE37AC"/>
    <w:rsid w:val="00AE41C7"/>
    <w:rsid w:val="00AE4D3E"/>
    <w:rsid w:val="00AE574F"/>
    <w:rsid w:val="00AF01DB"/>
    <w:rsid w:val="00AF04A9"/>
    <w:rsid w:val="00AF06B1"/>
    <w:rsid w:val="00AF2030"/>
    <w:rsid w:val="00AF21EE"/>
    <w:rsid w:val="00AF2925"/>
    <w:rsid w:val="00AF2A34"/>
    <w:rsid w:val="00AF3271"/>
    <w:rsid w:val="00AF3689"/>
    <w:rsid w:val="00AF4622"/>
    <w:rsid w:val="00AF7A99"/>
    <w:rsid w:val="00B0067A"/>
    <w:rsid w:val="00B016C7"/>
    <w:rsid w:val="00B0404B"/>
    <w:rsid w:val="00B10B42"/>
    <w:rsid w:val="00B128E0"/>
    <w:rsid w:val="00B132C2"/>
    <w:rsid w:val="00B145B7"/>
    <w:rsid w:val="00B15B6D"/>
    <w:rsid w:val="00B16FB2"/>
    <w:rsid w:val="00B17080"/>
    <w:rsid w:val="00B211D2"/>
    <w:rsid w:val="00B2179A"/>
    <w:rsid w:val="00B21E5B"/>
    <w:rsid w:val="00B22080"/>
    <w:rsid w:val="00B23F6B"/>
    <w:rsid w:val="00B244D1"/>
    <w:rsid w:val="00B246FA"/>
    <w:rsid w:val="00B259A1"/>
    <w:rsid w:val="00B26B4B"/>
    <w:rsid w:val="00B3014D"/>
    <w:rsid w:val="00B3224F"/>
    <w:rsid w:val="00B32628"/>
    <w:rsid w:val="00B327C4"/>
    <w:rsid w:val="00B33322"/>
    <w:rsid w:val="00B3518C"/>
    <w:rsid w:val="00B36079"/>
    <w:rsid w:val="00B41897"/>
    <w:rsid w:val="00B41D5E"/>
    <w:rsid w:val="00B4593C"/>
    <w:rsid w:val="00B4594A"/>
    <w:rsid w:val="00B46CBF"/>
    <w:rsid w:val="00B50EDD"/>
    <w:rsid w:val="00B512F4"/>
    <w:rsid w:val="00B51479"/>
    <w:rsid w:val="00B5336E"/>
    <w:rsid w:val="00B53E20"/>
    <w:rsid w:val="00B54E4F"/>
    <w:rsid w:val="00B5670C"/>
    <w:rsid w:val="00B60A52"/>
    <w:rsid w:val="00B6375F"/>
    <w:rsid w:val="00B63A08"/>
    <w:rsid w:val="00B647AA"/>
    <w:rsid w:val="00B66F63"/>
    <w:rsid w:val="00B6701F"/>
    <w:rsid w:val="00B678CA"/>
    <w:rsid w:val="00B67D09"/>
    <w:rsid w:val="00B7082C"/>
    <w:rsid w:val="00B70B51"/>
    <w:rsid w:val="00B70E14"/>
    <w:rsid w:val="00B72565"/>
    <w:rsid w:val="00B72B0A"/>
    <w:rsid w:val="00B73AD2"/>
    <w:rsid w:val="00B748C8"/>
    <w:rsid w:val="00B750F8"/>
    <w:rsid w:val="00B76C58"/>
    <w:rsid w:val="00B77BDA"/>
    <w:rsid w:val="00B77F1D"/>
    <w:rsid w:val="00B804B7"/>
    <w:rsid w:val="00B82939"/>
    <w:rsid w:val="00B82A80"/>
    <w:rsid w:val="00B83C6C"/>
    <w:rsid w:val="00B845A2"/>
    <w:rsid w:val="00B8508F"/>
    <w:rsid w:val="00B8562C"/>
    <w:rsid w:val="00B85A30"/>
    <w:rsid w:val="00B85AE1"/>
    <w:rsid w:val="00B8641C"/>
    <w:rsid w:val="00B865B5"/>
    <w:rsid w:val="00B87E3C"/>
    <w:rsid w:val="00B9018C"/>
    <w:rsid w:val="00B90B23"/>
    <w:rsid w:val="00B9110C"/>
    <w:rsid w:val="00B919C3"/>
    <w:rsid w:val="00B937F5"/>
    <w:rsid w:val="00B95419"/>
    <w:rsid w:val="00B967C8"/>
    <w:rsid w:val="00B9704A"/>
    <w:rsid w:val="00B979F6"/>
    <w:rsid w:val="00BA1DB3"/>
    <w:rsid w:val="00BA2A69"/>
    <w:rsid w:val="00BA680C"/>
    <w:rsid w:val="00BA6929"/>
    <w:rsid w:val="00BA73A7"/>
    <w:rsid w:val="00BA7976"/>
    <w:rsid w:val="00BB0D9C"/>
    <w:rsid w:val="00BB1217"/>
    <w:rsid w:val="00BB1DF6"/>
    <w:rsid w:val="00BB2815"/>
    <w:rsid w:val="00BB376E"/>
    <w:rsid w:val="00BB41DA"/>
    <w:rsid w:val="00BB4B57"/>
    <w:rsid w:val="00BB4E98"/>
    <w:rsid w:val="00BB5128"/>
    <w:rsid w:val="00BB5278"/>
    <w:rsid w:val="00BC2771"/>
    <w:rsid w:val="00BC2BE6"/>
    <w:rsid w:val="00BC3A60"/>
    <w:rsid w:val="00BC5053"/>
    <w:rsid w:val="00BC5E55"/>
    <w:rsid w:val="00BC624F"/>
    <w:rsid w:val="00BC63D1"/>
    <w:rsid w:val="00BC64BE"/>
    <w:rsid w:val="00BC6893"/>
    <w:rsid w:val="00BD0F84"/>
    <w:rsid w:val="00BD1502"/>
    <w:rsid w:val="00BD2961"/>
    <w:rsid w:val="00BD3ACC"/>
    <w:rsid w:val="00BD3C15"/>
    <w:rsid w:val="00BD4E68"/>
    <w:rsid w:val="00BD5440"/>
    <w:rsid w:val="00BD5F2A"/>
    <w:rsid w:val="00BD746C"/>
    <w:rsid w:val="00BD7853"/>
    <w:rsid w:val="00BE08B1"/>
    <w:rsid w:val="00BE115A"/>
    <w:rsid w:val="00BE29A2"/>
    <w:rsid w:val="00BE4B00"/>
    <w:rsid w:val="00BE541C"/>
    <w:rsid w:val="00BE5F5D"/>
    <w:rsid w:val="00BE639C"/>
    <w:rsid w:val="00BE763A"/>
    <w:rsid w:val="00BE7ABE"/>
    <w:rsid w:val="00BE7FD3"/>
    <w:rsid w:val="00BF0CEB"/>
    <w:rsid w:val="00BF0F98"/>
    <w:rsid w:val="00BF20BA"/>
    <w:rsid w:val="00BF54F2"/>
    <w:rsid w:val="00BF5724"/>
    <w:rsid w:val="00BF6145"/>
    <w:rsid w:val="00BF7A69"/>
    <w:rsid w:val="00BF7B47"/>
    <w:rsid w:val="00BF7C56"/>
    <w:rsid w:val="00C002D7"/>
    <w:rsid w:val="00C00813"/>
    <w:rsid w:val="00C00EC0"/>
    <w:rsid w:val="00C0110E"/>
    <w:rsid w:val="00C0127E"/>
    <w:rsid w:val="00C0653B"/>
    <w:rsid w:val="00C12D37"/>
    <w:rsid w:val="00C14378"/>
    <w:rsid w:val="00C16881"/>
    <w:rsid w:val="00C17722"/>
    <w:rsid w:val="00C200E7"/>
    <w:rsid w:val="00C2034E"/>
    <w:rsid w:val="00C20554"/>
    <w:rsid w:val="00C20A61"/>
    <w:rsid w:val="00C21318"/>
    <w:rsid w:val="00C21C85"/>
    <w:rsid w:val="00C23473"/>
    <w:rsid w:val="00C236DD"/>
    <w:rsid w:val="00C24736"/>
    <w:rsid w:val="00C24B86"/>
    <w:rsid w:val="00C25746"/>
    <w:rsid w:val="00C27339"/>
    <w:rsid w:val="00C275EA"/>
    <w:rsid w:val="00C3082C"/>
    <w:rsid w:val="00C31395"/>
    <w:rsid w:val="00C31CA6"/>
    <w:rsid w:val="00C33149"/>
    <w:rsid w:val="00C3492C"/>
    <w:rsid w:val="00C34BAD"/>
    <w:rsid w:val="00C375E7"/>
    <w:rsid w:val="00C400FA"/>
    <w:rsid w:val="00C4327A"/>
    <w:rsid w:val="00C45290"/>
    <w:rsid w:val="00C458EB"/>
    <w:rsid w:val="00C45E36"/>
    <w:rsid w:val="00C46008"/>
    <w:rsid w:val="00C46633"/>
    <w:rsid w:val="00C46F79"/>
    <w:rsid w:val="00C47FFE"/>
    <w:rsid w:val="00C5025B"/>
    <w:rsid w:val="00C50878"/>
    <w:rsid w:val="00C5128B"/>
    <w:rsid w:val="00C51640"/>
    <w:rsid w:val="00C51FDE"/>
    <w:rsid w:val="00C541A2"/>
    <w:rsid w:val="00C56ACE"/>
    <w:rsid w:val="00C608AF"/>
    <w:rsid w:val="00C60CA5"/>
    <w:rsid w:val="00C6157B"/>
    <w:rsid w:val="00C61783"/>
    <w:rsid w:val="00C61C9F"/>
    <w:rsid w:val="00C61CF9"/>
    <w:rsid w:val="00C62023"/>
    <w:rsid w:val="00C622FF"/>
    <w:rsid w:val="00C62960"/>
    <w:rsid w:val="00C62A26"/>
    <w:rsid w:val="00C62C5E"/>
    <w:rsid w:val="00C6311E"/>
    <w:rsid w:val="00C632E1"/>
    <w:rsid w:val="00C648E0"/>
    <w:rsid w:val="00C64BA7"/>
    <w:rsid w:val="00C65CCE"/>
    <w:rsid w:val="00C65E9F"/>
    <w:rsid w:val="00C660DB"/>
    <w:rsid w:val="00C6655A"/>
    <w:rsid w:val="00C675BF"/>
    <w:rsid w:val="00C67E9B"/>
    <w:rsid w:val="00C70826"/>
    <w:rsid w:val="00C72493"/>
    <w:rsid w:val="00C73110"/>
    <w:rsid w:val="00C73B7B"/>
    <w:rsid w:val="00C75925"/>
    <w:rsid w:val="00C75C46"/>
    <w:rsid w:val="00C77569"/>
    <w:rsid w:val="00C8096D"/>
    <w:rsid w:val="00C83D6E"/>
    <w:rsid w:val="00C856ED"/>
    <w:rsid w:val="00C86869"/>
    <w:rsid w:val="00C87D78"/>
    <w:rsid w:val="00C9068B"/>
    <w:rsid w:val="00C90E99"/>
    <w:rsid w:val="00C91236"/>
    <w:rsid w:val="00C9357B"/>
    <w:rsid w:val="00C943B9"/>
    <w:rsid w:val="00C95236"/>
    <w:rsid w:val="00C957E2"/>
    <w:rsid w:val="00C95AD5"/>
    <w:rsid w:val="00C96AFB"/>
    <w:rsid w:val="00C97D25"/>
    <w:rsid w:val="00CA159D"/>
    <w:rsid w:val="00CA1D16"/>
    <w:rsid w:val="00CA2FB7"/>
    <w:rsid w:val="00CA33B6"/>
    <w:rsid w:val="00CA49BE"/>
    <w:rsid w:val="00CA588B"/>
    <w:rsid w:val="00CA661D"/>
    <w:rsid w:val="00CA7932"/>
    <w:rsid w:val="00CB0512"/>
    <w:rsid w:val="00CB0EEE"/>
    <w:rsid w:val="00CB1519"/>
    <w:rsid w:val="00CB398E"/>
    <w:rsid w:val="00CB3DFE"/>
    <w:rsid w:val="00CB48D7"/>
    <w:rsid w:val="00CB6EFF"/>
    <w:rsid w:val="00CB7325"/>
    <w:rsid w:val="00CC20DB"/>
    <w:rsid w:val="00CC2AA3"/>
    <w:rsid w:val="00CC2EEB"/>
    <w:rsid w:val="00CC4641"/>
    <w:rsid w:val="00CC49FE"/>
    <w:rsid w:val="00CC4FD4"/>
    <w:rsid w:val="00CC6089"/>
    <w:rsid w:val="00CC7420"/>
    <w:rsid w:val="00CC7BEA"/>
    <w:rsid w:val="00CD09EA"/>
    <w:rsid w:val="00CD3E8A"/>
    <w:rsid w:val="00CD4137"/>
    <w:rsid w:val="00CD5426"/>
    <w:rsid w:val="00CD594D"/>
    <w:rsid w:val="00CD59A3"/>
    <w:rsid w:val="00CD5C45"/>
    <w:rsid w:val="00CD6964"/>
    <w:rsid w:val="00CE12FB"/>
    <w:rsid w:val="00CE4F1C"/>
    <w:rsid w:val="00CE4F97"/>
    <w:rsid w:val="00CE54E0"/>
    <w:rsid w:val="00CE631B"/>
    <w:rsid w:val="00CE658A"/>
    <w:rsid w:val="00CE6D7D"/>
    <w:rsid w:val="00CE6F80"/>
    <w:rsid w:val="00CE754F"/>
    <w:rsid w:val="00CF152E"/>
    <w:rsid w:val="00CF201B"/>
    <w:rsid w:val="00CF3347"/>
    <w:rsid w:val="00CF35FD"/>
    <w:rsid w:val="00CF3D72"/>
    <w:rsid w:val="00CF4C21"/>
    <w:rsid w:val="00CF54AB"/>
    <w:rsid w:val="00CF56CD"/>
    <w:rsid w:val="00CF6728"/>
    <w:rsid w:val="00CF72BE"/>
    <w:rsid w:val="00D00FF9"/>
    <w:rsid w:val="00D02097"/>
    <w:rsid w:val="00D04C1B"/>
    <w:rsid w:val="00D06434"/>
    <w:rsid w:val="00D06B62"/>
    <w:rsid w:val="00D074FE"/>
    <w:rsid w:val="00D0779E"/>
    <w:rsid w:val="00D07E2A"/>
    <w:rsid w:val="00D105DC"/>
    <w:rsid w:val="00D12DD4"/>
    <w:rsid w:val="00D13853"/>
    <w:rsid w:val="00D15437"/>
    <w:rsid w:val="00D1602D"/>
    <w:rsid w:val="00D20253"/>
    <w:rsid w:val="00D2112D"/>
    <w:rsid w:val="00D213EB"/>
    <w:rsid w:val="00D222A2"/>
    <w:rsid w:val="00D23201"/>
    <w:rsid w:val="00D2336D"/>
    <w:rsid w:val="00D2372B"/>
    <w:rsid w:val="00D2566F"/>
    <w:rsid w:val="00D26BC3"/>
    <w:rsid w:val="00D26F50"/>
    <w:rsid w:val="00D30609"/>
    <w:rsid w:val="00D306E7"/>
    <w:rsid w:val="00D31E70"/>
    <w:rsid w:val="00D32122"/>
    <w:rsid w:val="00D32168"/>
    <w:rsid w:val="00D32D79"/>
    <w:rsid w:val="00D341B0"/>
    <w:rsid w:val="00D354DB"/>
    <w:rsid w:val="00D373B9"/>
    <w:rsid w:val="00D37A83"/>
    <w:rsid w:val="00D40263"/>
    <w:rsid w:val="00D40852"/>
    <w:rsid w:val="00D418E1"/>
    <w:rsid w:val="00D42416"/>
    <w:rsid w:val="00D444E7"/>
    <w:rsid w:val="00D44534"/>
    <w:rsid w:val="00D447FB"/>
    <w:rsid w:val="00D4501B"/>
    <w:rsid w:val="00D45E43"/>
    <w:rsid w:val="00D4629B"/>
    <w:rsid w:val="00D4727F"/>
    <w:rsid w:val="00D519B7"/>
    <w:rsid w:val="00D5473C"/>
    <w:rsid w:val="00D5503A"/>
    <w:rsid w:val="00D56268"/>
    <w:rsid w:val="00D604D3"/>
    <w:rsid w:val="00D6121F"/>
    <w:rsid w:val="00D62EEC"/>
    <w:rsid w:val="00D6310B"/>
    <w:rsid w:val="00D637D3"/>
    <w:rsid w:val="00D63938"/>
    <w:rsid w:val="00D64573"/>
    <w:rsid w:val="00D64C8D"/>
    <w:rsid w:val="00D64F2F"/>
    <w:rsid w:val="00D65355"/>
    <w:rsid w:val="00D660BE"/>
    <w:rsid w:val="00D66572"/>
    <w:rsid w:val="00D66753"/>
    <w:rsid w:val="00D6695C"/>
    <w:rsid w:val="00D66ACF"/>
    <w:rsid w:val="00D671CD"/>
    <w:rsid w:val="00D67501"/>
    <w:rsid w:val="00D71B57"/>
    <w:rsid w:val="00D72352"/>
    <w:rsid w:val="00D72489"/>
    <w:rsid w:val="00D7333A"/>
    <w:rsid w:val="00D74A18"/>
    <w:rsid w:val="00D75E9C"/>
    <w:rsid w:val="00D76551"/>
    <w:rsid w:val="00D77C46"/>
    <w:rsid w:val="00D77E7A"/>
    <w:rsid w:val="00D8001F"/>
    <w:rsid w:val="00D80AF2"/>
    <w:rsid w:val="00D80DBF"/>
    <w:rsid w:val="00D83703"/>
    <w:rsid w:val="00D840DA"/>
    <w:rsid w:val="00D843C3"/>
    <w:rsid w:val="00D8442D"/>
    <w:rsid w:val="00D8475E"/>
    <w:rsid w:val="00D863A3"/>
    <w:rsid w:val="00D86845"/>
    <w:rsid w:val="00D906F3"/>
    <w:rsid w:val="00D92769"/>
    <w:rsid w:val="00D92D73"/>
    <w:rsid w:val="00D937BA"/>
    <w:rsid w:val="00D9431C"/>
    <w:rsid w:val="00D94AD2"/>
    <w:rsid w:val="00D96135"/>
    <w:rsid w:val="00D966C4"/>
    <w:rsid w:val="00D976C5"/>
    <w:rsid w:val="00D97ED3"/>
    <w:rsid w:val="00DA0737"/>
    <w:rsid w:val="00DA0D16"/>
    <w:rsid w:val="00DA0D41"/>
    <w:rsid w:val="00DA10C6"/>
    <w:rsid w:val="00DA3311"/>
    <w:rsid w:val="00DA34A8"/>
    <w:rsid w:val="00DA4DCB"/>
    <w:rsid w:val="00DA614C"/>
    <w:rsid w:val="00DB061F"/>
    <w:rsid w:val="00DB09EF"/>
    <w:rsid w:val="00DB17EC"/>
    <w:rsid w:val="00DB1844"/>
    <w:rsid w:val="00DB1BC3"/>
    <w:rsid w:val="00DB41D1"/>
    <w:rsid w:val="00DB64C5"/>
    <w:rsid w:val="00DB6A2C"/>
    <w:rsid w:val="00DB6C15"/>
    <w:rsid w:val="00DB7846"/>
    <w:rsid w:val="00DB7AC7"/>
    <w:rsid w:val="00DB7D07"/>
    <w:rsid w:val="00DC0BA8"/>
    <w:rsid w:val="00DC1671"/>
    <w:rsid w:val="00DC170D"/>
    <w:rsid w:val="00DC3A94"/>
    <w:rsid w:val="00DC3CB3"/>
    <w:rsid w:val="00DC47B4"/>
    <w:rsid w:val="00DC5969"/>
    <w:rsid w:val="00DC6F63"/>
    <w:rsid w:val="00DC7799"/>
    <w:rsid w:val="00DD2A66"/>
    <w:rsid w:val="00DD31F9"/>
    <w:rsid w:val="00DD407B"/>
    <w:rsid w:val="00DD4B8A"/>
    <w:rsid w:val="00DD5B5E"/>
    <w:rsid w:val="00DE07F4"/>
    <w:rsid w:val="00DE1283"/>
    <w:rsid w:val="00DE17DB"/>
    <w:rsid w:val="00DE19B4"/>
    <w:rsid w:val="00DE2D90"/>
    <w:rsid w:val="00DE2FEE"/>
    <w:rsid w:val="00DE3E41"/>
    <w:rsid w:val="00DE6A48"/>
    <w:rsid w:val="00DE73CF"/>
    <w:rsid w:val="00DF1703"/>
    <w:rsid w:val="00DF218A"/>
    <w:rsid w:val="00DF2780"/>
    <w:rsid w:val="00DF285A"/>
    <w:rsid w:val="00DF29A8"/>
    <w:rsid w:val="00DF2BB8"/>
    <w:rsid w:val="00DF43A3"/>
    <w:rsid w:val="00DF4499"/>
    <w:rsid w:val="00DF4C2B"/>
    <w:rsid w:val="00DF5AA4"/>
    <w:rsid w:val="00DF7339"/>
    <w:rsid w:val="00DF7A05"/>
    <w:rsid w:val="00E00DB7"/>
    <w:rsid w:val="00E022DF"/>
    <w:rsid w:val="00E025E2"/>
    <w:rsid w:val="00E02A3A"/>
    <w:rsid w:val="00E02F00"/>
    <w:rsid w:val="00E035AA"/>
    <w:rsid w:val="00E03D85"/>
    <w:rsid w:val="00E043BC"/>
    <w:rsid w:val="00E04D19"/>
    <w:rsid w:val="00E07340"/>
    <w:rsid w:val="00E10709"/>
    <w:rsid w:val="00E10E86"/>
    <w:rsid w:val="00E118F7"/>
    <w:rsid w:val="00E140C8"/>
    <w:rsid w:val="00E14ED9"/>
    <w:rsid w:val="00E1649F"/>
    <w:rsid w:val="00E166B3"/>
    <w:rsid w:val="00E16874"/>
    <w:rsid w:val="00E174D2"/>
    <w:rsid w:val="00E17657"/>
    <w:rsid w:val="00E179F8"/>
    <w:rsid w:val="00E20C4F"/>
    <w:rsid w:val="00E21BFB"/>
    <w:rsid w:val="00E272D6"/>
    <w:rsid w:val="00E27AE5"/>
    <w:rsid w:val="00E31A81"/>
    <w:rsid w:val="00E31D61"/>
    <w:rsid w:val="00E32566"/>
    <w:rsid w:val="00E32764"/>
    <w:rsid w:val="00E333EB"/>
    <w:rsid w:val="00E357D8"/>
    <w:rsid w:val="00E35AE6"/>
    <w:rsid w:val="00E36695"/>
    <w:rsid w:val="00E40C36"/>
    <w:rsid w:val="00E41248"/>
    <w:rsid w:val="00E41304"/>
    <w:rsid w:val="00E43210"/>
    <w:rsid w:val="00E433C9"/>
    <w:rsid w:val="00E43FBA"/>
    <w:rsid w:val="00E443D6"/>
    <w:rsid w:val="00E445B1"/>
    <w:rsid w:val="00E466F6"/>
    <w:rsid w:val="00E46DC1"/>
    <w:rsid w:val="00E47240"/>
    <w:rsid w:val="00E4775D"/>
    <w:rsid w:val="00E47DB1"/>
    <w:rsid w:val="00E51D4C"/>
    <w:rsid w:val="00E5393B"/>
    <w:rsid w:val="00E5452A"/>
    <w:rsid w:val="00E5519A"/>
    <w:rsid w:val="00E551AB"/>
    <w:rsid w:val="00E5567B"/>
    <w:rsid w:val="00E559F8"/>
    <w:rsid w:val="00E55AC7"/>
    <w:rsid w:val="00E55CEB"/>
    <w:rsid w:val="00E57457"/>
    <w:rsid w:val="00E64167"/>
    <w:rsid w:val="00E6480D"/>
    <w:rsid w:val="00E64DD8"/>
    <w:rsid w:val="00E66568"/>
    <w:rsid w:val="00E665E6"/>
    <w:rsid w:val="00E66666"/>
    <w:rsid w:val="00E6755F"/>
    <w:rsid w:val="00E71A3F"/>
    <w:rsid w:val="00E71CD2"/>
    <w:rsid w:val="00E72B96"/>
    <w:rsid w:val="00E74158"/>
    <w:rsid w:val="00E74BD0"/>
    <w:rsid w:val="00E8169A"/>
    <w:rsid w:val="00E83626"/>
    <w:rsid w:val="00E84605"/>
    <w:rsid w:val="00E84682"/>
    <w:rsid w:val="00E84B65"/>
    <w:rsid w:val="00E856AD"/>
    <w:rsid w:val="00E861D8"/>
    <w:rsid w:val="00E9037C"/>
    <w:rsid w:val="00E90F44"/>
    <w:rsid w:val="00E90F8F"/>
    <w:rsid w:val="00E9351E"/>
    <w:rsid w:val="00E9387E"/>
    <w:rsid w:val="00E950B0"/>
    <w:rsid w:val="00E97D9F"/>
    <w:rsid w:val="00E97FEA"/>
    <w:rsid w:val="00EA07BD"/>
    <w:rsid w:val="00EA40AE"/>
    <w:rsid w:val="00EA4670"/>
    <w:rsid w:val="00EA4DAC"/>
    <w:rsid w:val="00EA5364"/>
    <w:rsid w:val="00EA7205"/>
    <w:rsid w:val="00EA7F5D"/>
    <w:rsid w:val="00EB0426"/>
    <w:rsid w:val="00EB0F41"/>
    <w:rsid w:val="00EB38A0"/>
    <w:rsid w:val="00EC1562"/>
    <w:rsid w:val="00EC1D08"/>
    <w:rsid w:val="00EC25BF"/>
    <w:rsid w:val="00EC7180"/>
    <w:rsid w:val="00EC7E30"/>
    <w:rsid w:val="00ED0BE3"/>
    <w:rsid w:val="00ED157C"/>
    <w:rsid w:val="00ED1F72"/>
    <w:rsid w:val="00ED2932"/>
    <w:rsid w:val="00ED3228"/>
    <w:rsid w:val="00ED3AAD"/>
    <w:rsid w:val="00ED3EB3"/>
    <w:rsid w:val="00ED440B"/>
    <w:rsid w:val="00ED4795"/>
    <w:rsid w:val="00ED4BD4"/>
    <w:rsid w:val="00ED4C8B"/>
    <w:rsid w:val="00ED5E22"/>
    <w:rsid w:val="00ED79CF"/>
    <w:rsid w:val="00EE1086"/>
    <w:rsid w:val="00EE1704"/>
    <w:rsid w:val="00EE2735"/>
    <w:rsid w:val="00EE37A3"/>
    <w:rsid w:val="00EE4D43"/>
    <w:rsid w:val="00EE50F6"/>
    <w:rsid w:val="00EE5755"/>
    <w:rsid w:val="00EE71EF"/>
    <w:rsid w:val="00EE729A"/>
    <w:rsid w:val="00EE7502"/>
    <w:rsid w:val="00EF071F"/>
    <w:rsid w:val="00EF16C1"/>
    <w:rsid w:val="00EF2AEE"/>
    <w:rsid w:val="00EF39BC"/>
    <w:rsid w:val="00EF3D41"/>
    <w:rsid w:val="00EF3FD6"/>
    <w:rsid w:val="00EF4046"/>
    <w:rsid w:val="00EF57C7"/>
    <w:rsid w:val="00EF5E07"/>
    <w:rsid w:val="00EF7AE4"/>
    <w:rsid w:val="00EF7D3C"/>
    <w:rsid w:val="00F0004D"/>
    <w:rsid w:val="00F01E4B"/>
    <w:rsid w:val="00F0325A"/>
    <w:rsid w:val="00F04703"/>
    <w:rsid w:val="00F05AD2"/>
    <w:rsid w:val="00F060B6"/>
    <w:rsid w:val="00F0641E"/>
    <w:rsid w:val="00F068D9"/>
    <w:rsid w:val="00F1093D"/>
    <w:rsid w:val="00F12EF8"/>
    <w:rsid w:val="00F12F23"/>
    <w:rsid w:val="00F13140"/>
    <w:rsid w:val="00F1432A"/>
    <w:rsid w:val="00F1457C"/>
    <w:rsid w:val="00F149A9"/>
    <w:rsid w:val="00F149C7"/>
    <w:rsid w:val="00F1649C"/>
    <w:rsid w:val="00F16582"/>
    <w:rsid w:val="00F200CA"/>
    <w:rsid w:val="00F23A45"/>
    <w:rsid w:val="00F23F24"/>
    <w:rsid w:val="00F2408E"/>
    <w:rsid w:val="00F24A61"/>
    <w:rsid w:val="00F2506F"/>
    <w:rsid w:val="00F2539B"/>
    <w:rsid w:val="00F254A6"/>
    <w:rsid w:val="00F26165"/>
    <w:rsid w:val="00F27F6E"/>
    <w:rsid w:val="00F303C1"/>
    <w:rsid w:val="00F3114D"/>
    <w:rsid w:val="00F31322"/>
    <w:rsid w:val="00F31D00"/>
    <w:rsid w:val="00F322D8"/>
    <w:rsid w:val="00F32316"/>
    <w:rsid w:val="00F339DB"/>
    <w:rsid w:val="00F3419F"/>
    <w:rsid w:val="00F35AA4"/>
    <w:rsid w:val="00F35DB3"/>
    <w:rsid w:val="00F36B32"/>
    <w:rsid w:val="00F4174C"/>
    <w:rsid w:val="00F426B0"/>
    <w:rsid w:val="00F42D50"/>
    <w:rsid w:val="00F43702"/>
    <w:rsid w:val="00F43FA0"/>
    <w:rsid w:val="00F4422A"/>
    <w:rsid w:val="00F453BB"/>
    <w:rsid w:val="00F46FE1"/>
    <w:rsid w:val="00F47D57"/>
    <w:rsid w:val="00F505AB"/>
    <w:rsid w:val="00F517C0"/>
    <w:rsid w:val="00F51ADD"/>
    <w:rsid w:val="00F51BA6"/>
    <w:rsid w:val="00F52799"/>
    <w:rsid w:val="00F52908"/>
    <w:rsid w:val="00F52DCF"/>
    <w:rsid w:val="00F558AC"/>
    <w:rsid w:val="00F55C73"/>
    <w:rsid w:val="00F56701"/>
    <w:rsid w:val="00F577D7"/>
    <w:rsid w:val="00F60545"/>
    <w:rsid w:val="00F613C7"/>
    <w:rsid w:val="00F61E7A"/>
    <w:rsid w:val="00F61E85"/>
    <w:rsid w:val="00F63CF3"/>
    <w:rsid w:val="00F655C4"/>
    <w:rsid w:val="00F66DCF"/>
    <w:rsid w:val="00F67C82"/>
    <w:rsid w:val="00F67F8F"/>
    <w:rsid w:val="00F700A8"/>
    <w:rsid w:val="00F70EF1"/>
    <w:rsid w:val="00F71534"/>
    <w:rsid w:val="00F71733"/>
    <w:rsid w:val="00F71F73"/>
    <w:rsid w:val="00F735BD"/>
    <w:rsid w:val="00F738A1"/>
    <w:rsid w:val="00F73DB5"/>
    <w:rsid w:val="00F749C4"/>
    <w:rsid w:val="00F7531C"/>
    <w:rsid w:val="00F75B97"/>
    <w:rsid w:val="00F75F74"/>
    <w:rsid w:val="00F817EA"/>
    <w:rsid w:val="00F81DFE"/>
    <w:rsid w:val="00F83758"/>
    <w:rsid w:val="00F83D77"/>
    <w:rsid w:val="00F83F5C"/>
    <w:rsid w:val="00F854A1"/>
    <w:rsid w:val="00F86210"/>
    <w:rsid w:val="00F87275"/>
    <w:rsid w:val="00F90440"/>
    <w:rsid w:val="00F90675"/>
    <w:rsid w:val="00F906C4"/>
    <w:rsid w:val="00F93DD3"/>
    <w:rsid w:val="00F94FDA"/>
    <w:rsid w:val="00F961A0"/>
    <w:rsid w:val="00F96929"/>
    <w:rsid w:val="00F97368"/>
    <w:rsid w:val="00FA194C"/>
    <w:rsid w:val="00FA1B56"/>
    <w:rsid w:val="00FA2D6A"/>
    <w:rsid w:val="00FA368C"/>
    <w:rsid w:val="00FA39E6"/>
    <w:rsid w:val="00FA4538"/>
    <w:rsid w:val="00FA6E7E"/>
    <w:rsid w:val="00FA71D1"/>
    <w:rsid w:val="00FA76F7"/>
    <w:rsid w:val="00FA7876"/>
    <w:rsid w:val="00FB0ACD"/>
    <w:rsid w:val="00FB0E21"/>
    <w:rsid w:val="00FB1194"/>
    <w:rsid w:val="00FB306C"/>
    <w:rsid w:val="00FB31B7"/>
    <w:rsid w:val="00FB41F0"/>
    <w:rsid w:val="00FB4DEC"/>
    <w:rsid w:val="00FB6183"/>
    <w:rsid w:val="00FB6EB0"/>
    <w:rsid w:val="00FB70A4"/>
    <w:rsid w:val="00FC025E"/>
    <w:rsid w:val="00FC0981"/>
    <w:rsid w:val="00FC09F8"/>
    <w:rsid w:val="00FC1E2B"/>
    <w:rsid w:val="00FC2FED"/>
    <w:rsid w:val="00FC310A"/>
    <w:rsid w:val="00FC332B"/>
    <w:rsid w:val="00FC40B3"/>
    <w:rsid w:val="00FC6890"/>
    <w:rsid w:val="00FC6D88"/>
    <w:rsid w:val="00FC6FB4"/>
    <w:rsid w:val="00FC6FE0"/>
    <w:rsid w:val="00FC7B4A"/>
    <w:rsid w:val="00FC7DBA"/>
    <w:rsid w:val="00FD0F48"/>
    <w:rsid w:val="00FD2608"/>
    <w:rsid w:val="00FD2D94"/>
    <w:rsid w:val="00FD30AC"/>
    <w:rsid w:val="00FD43FC"/>
    <w:rsid w:val="00FD4A57"/>
    <w:rsid w:val="00FD6E0A"/>
    <w:rsid w:val="00FD7CD4"/>
    <w:rsid w:val="00FD7FE7"/>
    <w:rsid w:val="00FE047F"/>
    <w:rsid w:val="00FE3949"/>
    <w:rsid w:val="00FE3FD2"/>
    <w:rsid w:val="00FE4C5C"/>
    <w:rsid w:val="00FE4D02"/>
    <w:rsid w:val="00FE6EF7"/>
    <w:rsid w:val="00FE79FA"/>
    <w:rsid w:val="00FF0E10"/>
    <w:rsid w:val="00FF17D6"/>
    <w:rsid w:val="00FF31E4"/>
    <w:rsid w:val="00FF32BC"/>
    <w:rsid w:val="00FF451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C0474"/>
  <w15:docId w15:val="{EEFA5354-EDB4-43D8-ABD4-263DFAF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29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82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829D0"/>
  </w:style>
  <w:style w:type="paragraph" w:customStyle="1" w:styleId="TextTi12">
    <w:name w:val="Text:Ti12"/>
    <w:basedOn w:val="Normal"/>
    <w:link w:val="TextTi12Char"/>
    <w:rsid w:val="00F577D7"/>
    <w:pPr>
      <w:spacing w:after="170" w:line="280" w:lineRule="atLeast"/>
      <w:jc w:val="both"/>
    </w:pPr>
    <w:rPr>
      <w:rFonts w:eastAsia="SimSun"/>
      <w:lang w:val="en-GB" w:eastAsia="de-DE"/>
    </w:rPr>
  </w:style>
  <w:style w:type="character" w:customStyle="1" w:styleId="TextTi12Char">
    <w:name w:val="Text:Ti12 Char"/>
    <w:link w:val="TextTi12"/>
    <w:rsid w:val="00F577D7"/>
    <w:rPr>
      <w:rFonts w:ascii="Times New Roman" w:eastAsia="SimSun" w:hAnsi="Times New Roman" w:cs="Times New Roman"/>
      <w:sz w:val="24"/>
      <w:szCs w:val="24"/>
      <w:lang w:val="en-GB" w:eastAsia="de-DE"/>
    </w:rPr>
  </w:style>
  <w:style w:type="paragraph" w:styleId="Header">
    <w:name w:val="header"/>
    <w:basedOn w:val="Normal"/>
    <w:link w:val="HeaderChar"/>
    <w:rsid w:val="007E4D22"/>
    <w:pPr>
      <w:tabs>
        <w:tab w:val="left" w:pos="567"/>
        <w:tab w:val="center" w:pos="4153"/>
        <w:tab w:val="right" w:pos="8306"/>
      </w:tabs>
      <w:spacing w:line="260" w:lineRule="exact"/>
    </w:pPr>
    <w:rPr>
      <w:rFonts w:ascii="Arial" w:eastAsia="SimSun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E4D22"/>
    <w:rPr>
      <w:rFonts w:ascii="Arial" w:eastAsia="SimSun" w:hAnsi="Arial" w:cs="Times New Roman"/>
      <w:sz w:val="20"/>
      <w:szCs w:val="20"/>
      <w:lang w:val="en-GB"/>
    </w:rPr>
  </w:style>
  <w:style w:type="paragraph" w:customStyle="1" w:styleId="MemoHeaderStyle">
    <w:name w:val="MemoHeaderStyle"/>
    <w:basedOn w:val="Normal"/>
    <w:next w:val="Normal"/>
    <w:rsid w:val="007E4D22"/>
    <w:pPr>
      <w:tabs>
        <w:tab w:val="left" w:pos="567"/>
      </w:tabs>
      <w:spacing w:line="120" w:lineRule="atLeast"/>
      <w:ind w:left="1418"/>
      <w:jc w:val="both"/>
    </w:pPr>
    <w:rPr>
      <w:rFonts w:ascii="Arial" w:eastAsia="SimSun" w:hAnsi="Arial"/>
      <w:b/>
      <w:smallCaps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rsid w:val="007E4D22"/>
    <w:rPr>
      <w:rFonts w:eastAsia="SimSun"/>
      <w:i/>
      <w:color w:val="008000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E4D22"/>
    <w:rPr>
      <w:rFonts w:ascii="Times New Roman" w:eastAsia="SimSun" w:hAnsi="Times New Roman" w:cs="Times New Roman"/>
      <w:i/>
      <w:color w:val="00800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7E4D22"/>
    <w:pPr>
      <w:tabs>
        <w:tab w:val="left" w:pos="567"/>
      </w:tabs>
      <w:spacing w:line="260" w:lineRule="exact"/>
    </w:pPr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E4D22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rsid w:val="007E4D22"/>
    <w:rPr>
      <w:color w:val="0000FF"/>
      <w:u w:val="single"/>
    </w:rPr>
  </w:style>
  <w:style w:type="paragraph" w:customStyle="1" w:styleId="EMEAEnBodyText">
    <w:name w:val="EMEA En Body Text"/>
    <w:basedOn w:val="Normal"/>
    <w:rsid w:val="007E4D22"/>
    <w:pPr>
      <w:spacing w:before="120" w:after="120"/>
      <w:jc w:val="both"/>
    </w:pPr>
    <w:rPr>
      <w:rFonts w:eastAsia="SimSun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4D22"/>
    <w:pPr>
      <w:tabs>
        <w:tab w:val="left" w:pos="567"/>
      </w:tabs>
      <w:spacing w:line="260" w:lineRule="exac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22"/>
    <w:rPr>
      <w:rFonts w:ascii="Tahoma" w:eastAsia="SimSun" w:hAnsi="Tahoma" w:cs="Tahoma"/>
      <w:sz w:val="16"/>
      <w:szCs w:val="16"/>
      <w:lang w:val="en-GB"/>
    </w:rPr>
  </w:style>
  <w:style w:type="paragraph" w:customStyle="1" w:styleId="BodytextAgency">
    <w:name w:val="Body text (Agency)"/>
    <w:basedOn w:val="Normal"/>
    <w:link w:val="BodytextAgencyChar"/>
    <w:rsid w:val="007E4D22"/>
    <w:pPr>
      <w:spacing w:after="140" w:line="280" w:lineRule="atLeast"/>
    </w:pPr>
    <w:rPr>
      <w:rFonts w:ascii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7E4D22"/>
    <w:rPr>
      <w:rFonts w:ascii="Verdana" w:eastAsia="Times New Roman" w:hAnsi="Verdana" w:cs="Verdana"/>
      <w:sz w:val="18"/>
      <w:szCs w:val="18"/>
      <w:lang w:val="en-GB"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7E4D22"/>
    <w:pPr>
      <w:spacing w:after="140" w:line="280" w:lineRule="atLeast"/>
    </w:pPr>
    <w:rPr>
      <w:rFonts w:ascii="Courier New" w:hAnsi="Courier New"/>
      <w:i/>
      <w:color w:val="339966"/>
      <w:sz w:val="22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7E4D22"/>
    <w:rPr>
      <w:rFonts w:ascii="Courier New" w:eastAsia="Times New Roman" w:hAnsi="Courier New" w:cs="Times New Roman"/>
      <w:i/>
      <w:color w:val="339966"/>
      <w:szCs w:val="18"/>
      <w:lang w:val="en-GB" w:eastAsia="en-GB"/>
    </w:rPr>
  </w:style>
  <w:style w:type="paragraph" w:customStyle="1" w:styleId="NormalAgency">
    <w:name w:val="Normal (Agency)"/>
    <w:link w:val="NormalAgencyChar"/>
    <w:rsid w:val="007E4D22"/>
    <w:pPr>
      <w:spacing w:after="0" w:line="240" w:lineRule="auto"/>
    </w:pPr>
    <w:rPr>
      <w:rFonts w:ascii="Verdana" w:eastAsia="Times New Roman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7E4D22"/>
    <w:rPr>
      <w:rFonts w:ascii="Verdana" w:eastAsia="Times New Roman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rsid w:val="007E4D22"/>
    <w:pPr>
      <w:keepNext/>
    </w:pPr>
    <w:rPr>
      <w:rFonts w:eastAsia="SimSun"/>
      <w:b/>
    </w:rPr>
  </w:style>
  <w:style w:type="paragraph" w:customStyle="1" w:styleId="TabletextrowsAgency">
    <w:name w:val="Table text rows (Agency)"/>
    <w:basedOn w:val="Normal"/>
    <w:rsid w:val="007E4D22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Title">
    <w:name w:val="Title"/>
    <w:basedOn w:val="Normal"/>
    <w:link w:val="TitleChar"/>
    <w:qFormat/>
    <w:rsid w:val="007E4D22"/>
    <w:pPr>
      <w:jc w:val="center"/>
    </w:pPr>
    <w:rPr>
      <w:rFonts w:eastAsia="SimSu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E4D22"/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E4D22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4D22"/>
    <w:rPr>
      <w:b/>
      <w:bCs/>
    </w:rPr>
  </w:style>
  <w:style w:type="paragraph" w:customStyle="1" w:styleId="Paragraph">
    <w:name w:val="Paragraph"/>
    <w:basedOn w:val="Normal"/>
    <w:link w:val="ParagraphChar"/>
    <w:qFormat/>
    <w:rsid w:val="007E4D22"/>
    <w:pPr>
      <w:spacing w:after="170" w:line="280" w:lineRule="exact"/>
    </w:pPr>
    <w:rPr>
      <w:rFonts w:ascii="Arial" w:eastAsia="SimSun" w:hAnsi="Arial"/>
      <w:lang w:val="en-US" w:eastAsia="zh-CN"/>
    </w:rPr>
  </w:style>
  <w:style w:type="character" w:customStyle="1" w:styleId="ParagraphChar">
    <w:name w:val="Paragraph Char"/>
    <w:link w:val="Paragraph"/>
    <w:rsid w:val="007E4D22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Default">
    <w:name w:val="Default"/>
    <w:rsid w:val="007E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7E4D22"/>
    <w:rPr>
      <w:rFonts w:ascii="Arial" w:hAnsi="Arial"/>
      <w:sz w:val="20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rsid w:val="007E4D22"/>
    <w:rPr>
      <w:rFonts w:ascii="Arial" w:eastAsia="Times New Roman" w:hAnsi="Arial" w:cs="Times New Roman"/>
      <w:sz w:val="20"/>
      <w:szCs w:val="21"/>
      <w:lang w:eastAsia="ko-KR"/>
    </w:rPr>
  </w:style>
  <w:style w:type="character" w:customStyle="1" w:styleId="apple-converted-space">
    <w:name w:val="apple-converted-space"/>
    <w:rsid w:val="007E4D22"/>
  </w:style>
  <w:style w:type="paragraph" w:styleId="NormalWeb">
    <w:name w:val="Normal (Web)"/>
    <w:basedOn w:val="Normal"/>
    <w:rsid w:val="007E4D22"/>
    <w:pPr>
      <w:spacing w:before="100" w:beforeAutospacing="1" w:after="100" w:afterAutospacing="1"/>
    </w:pPr>
    <w:rPr>
      <w:rFonts w:eastAsia="SimSun"/>
      <w:lang w:val="en-US" w:eastAsia="en-US"/>
    </w:rPr>
  </w:style>
  <w:style w:type="character" w:customStyle="1" w:styleId="tw4winMark">
    <w:name w:val="tw4winMark"/>
    <w:rsid w:val="007E4D22"/>
    <w:rPr>
      <w:rFonts w:ascii="Courier New" w:hAnsi="Courier New" w:cs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FD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D2961"/>
    <w:rPr>
      <w:sz w:val="16"/>
      <w:szCs w:val="16"/>
    </w:rPr>
  </w:style>
  <w:style w:type="paragraph" w:customStyle="1" w:styleId="HeadingCentNoNum">
    <w:name w:val="Heading CentNoNum"/>
    <w:basedOn w:val="Normal"/>
    <w:next w:val="Paragraph"/>
    <w:uiPriority w:val="99"/>
    <w:rsid w:val="000F2E19"/>
    <w:pPr>
      <w:keepNext/>
      <w:spacing w:before="300" w:after="400" w:line="280" w:lineRule="exact"/>
      <w:jc w:val="center"/>
    </w:pPr>
    <w:rPr>
      <w:rFonts w:ascii="Arial" w:eastAsia="SimSun" w:hAnsi="Arial"/>
      <w:b/>
      <w:caps/>
      <w:sz w:val="28"/>
      <w:lang w:val="en-US" w:eastAsia="zh-CN"/>
    </w:rPr>
  </w:style>
  <w:style w:type="paragraph" w:styleId="Revision">
    <w:name w:val="Revision"/>
    <w:hidden/>
    <w:semiHidden/>
    <w:rsid w:val="0029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73B7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0">
    <w:name w:val="paragraph"/>
    <w:basedOn w:val="Normal"/>
    <w:uiPriority w:val="99"/>
    <w:rsid w:val="00E272D6"/>
    <w:pPr>
      <w:spacing w:after="170" w:line="280" w:lineRule="atLeast"/>
    </w:pPr>
    <w:rPr>
      <w:rFonts w:ascii="Arial" w:eastAsia="PMingLiU" w:hAnsi="Arial" w:cs="Arial"/>
      <w:lang w:val="en-US" w:eastAsia="zh-CN"/>
    </w:rPr>
  </w:style>
  <w:style w:type="paragraph" w:styleId="ListBullet">
    <w:name w:val="List Bullet"/>
    <w:basedOn w:val="Normal"/>
    <w:link w:val="ListBulletChar"/>
    <w:rsid w:val="00BB5278"/>
    <w:pPr>
      <w:numPr>
        <w:numId w:val="60"/>
      </w:numPr>
      <w:spacing w:after="100" w:line="280" w:lineRule="atLeast"/>
    </w:pPr>
    <w:rPr>
      <w:rFonts w:ascii="Arial" w:eastAsia="SimSun" w:hAnsi="Arial"/>
      <w:sz w:val="22"/>
      <w:lang w:val="x-none" w:eastAsia="zh-CN"/>
    </w:rPr>
  </w:style>
  <w:style w:type="character" w:customStyle="1" w:styleId="ListBulletChar">
    <w:name w:val="List Bullet Char"/>
    <w:link w:val="ListBullet"/>
    <w:locked/>
    <w:rsid w:val="00BB5278"/>
    <w:rPr>
      <w:rFonts w:ascii="Arial" w:hAnsi="Arial" w:cs="Times New Roman"/>
      <w:szCs w:val="24"/>
      <w:lang w:val="x-none" w:eastAsia="zh-CN"/>
    </w:rPr>
  </w:style>
  <w:style w:type="paragraph" w:customStyle="1" w:styleId="Style3">
    <w:name w:val="Style3"/>
    <w:basedOn w:val="TextTi12"/>
    <w:qFormat/>
    <w:rsid w:val="006D4709"/>
    <w:pPr>
      <w:spacing w:after="0" w:line="360" w:lineRule="auto"/>
      <w:jc w:val="left"/>
    </w:pPr>
    <w:rPr>
      <w:rFonts w:eastAsia="MS Mincho"/>
      <w:bCs/>
      <w:lang w:val="ru-RU"/>
    </w:rPr>
  </w:style>
  <w:style w:type="paragraph" w:customStyle="1" w:styleId="Style1">
    <w:name w:val="Style1"/>
    <w:basedOn w:val="Normal"/>
    <w:qFormat/>
    <w:rsid w:val="003241C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lang w:eastAsia="ja-JP"/>
    </w:rPr>
  </w:style>
  <w:style w:type="paragraph" w:customStyle="1" w:styleId="Style2">
    <w:name w:val="Style2"/>
    <w:basedOn w:val="Paragraph"/>
    <w:qFormat/>
    <w:rsid w:val="00A573EB"/>
    <w:pPr>
      <w:spacing w:after="0" w:line="360" w:lineRule="auto"/>
      <w:jc w:val="center"/>
    </w:pPr>
    <w:rPr>
      <w:rFonts w:ascii="Times New Roman" w:hAnsi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che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27BBF33B8B45B44BDE3AF83A4258" ma:contentTypeVersion="11" ma:contentTypeDescription="Create a new document." ma:contentTypeScope="" ma:versionID="130cd1ca7c975894e934ae1cd25ce62e">
  <xsd:schema xmlns:xsd="http://www.w3.org/2001/XMLSchema" xmlns:xs="http://www.w3.org/2001/XMLSchema" xmlns:p="http://schemas.microsoft.com/office/2006/metadata/properties" xmlns:ns1="http://schemas.microsoft.com/sharepoint/v3" xmlns:ns2="2ebe0727-1eba-49c6-965a-c3590f1173fa" xmlns:ns3="f191ad30-9ade-4f0c-b78e-cf30469879ae" xmlns:ns4="http://schemas.microsoft.com/sharepoint/v4" targetNamespace="http://schemas.microsoft.com/office/2006/metadata/properties" ma:root="true" ma:fieldsID="020089e1c16b136df9f032c53bf70832" ns1:_="" ns2:_="" ns3:_="" ns4:_="">
    <xsd:import namespace="http://schemas.microsoft.com/sharepoint/v3"/>
    <xsd:import namespace="2ebe0727-1eba-49c6-965a-c3590f1173fa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AverageRating" minOccurs="0"/>
                <xsd:element ref="ns1:RatingCount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0727-1eba-49c6-965a-c3590f1173f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edb3d-e023-47f2-ba1e-d2d0b86b9e55}" ma:internalName="TaxCatchAll" ma:showField="CatchAllData" ma:web="2ebe0727-1eba-49c6-965a-c3590f1173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2030-11-30T23:00:00+00:00</_dlc_ExpireDate>
    <_dlc_ExpireDateSaved xmlns="http://schemas.microsoft.com/sharepoint/v3" xsi:nil="true"/>
    <TaxCatchAll xmlns="f191ad30-9ade-4f0c-b78e-cf30469879ae"/>
    <TaxKeywordTaxHTField xmlns="2ebe0727-1eba-49c6-965a-c3590f1173fa">
      <Terms xmlns="http://schemas.microsoft.com/office/infopath/2007/PartnerControls"/>
    </TaxKeywordTaxHTField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E8AD-DD50-4063-B52C-7E30306D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e0727-1eba-49c6-965a-c3590f1173fa"/>
    <ds:schemaRef ds:uri="f191ad30-9ade-4f0c-b78e-cf3046987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79A67-3CBE-4049-AD84-2C3A3950CE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91ad30-9ade-4f0c-b78e-cf30469879ae"/>
    <ds:schemaRef ds:uri="2ebe0727-1eba-49c6-965a-c3590f1173f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9CF26B8-A8E1-4996-A0C3-34011CFDF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D3F66-706D-404A-B0F8-D6DE0951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21</Pages>
  <Words>6232</Words>
  <Characters>35523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41672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Ostroumova, Liubov {RX~Moscow}</dc:creator>
  <cp:lastModifiedBy>Koulkova, Natalia {MWJF~Moscow}</cp:lastModifiedBy>
  <cp:revision>16</cp:revision>
  <cp:lastPrinted>2017-02-09T13:31:00Z</cp:lastPrinted>
  <dcterms:created xsi:type="dcterms:W3CDTF">2021-03-05T06:25:00Z</dcterms:created>
  <dcterms:modified xsi:type="dcterms:W3CDTF">2021-08-03T11:23:00Z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id="Roche.Common.Coremap.ExpirationFormula" /&gt;</vt:lpwstr>
  </property>
  <property fmtid="{D5CDD505-2E9C-101B-9397-08002B2CF9AE}" pid="3" name="_dlc_policyId">
    <vt:lpwstr>/team/20123a59/Documents</vt:lpwstr>
  </property>
  <property fmtid="{D5CDD505-2E9C-101B-9397-08002B2CF9AE}" pid="4" name="ContentTypeId">
    <vt:lpwstr>0x010100321927BBF33B8B45B44BDE3AF83A4258</vt:lpwstr>
  </property>
  <property fmtid="{D5CDD505-2E9C-101B-9397-08002B2CF9AE}" pid="5" name="TaxKeyword">
    <vt:lpwstr/>
  </property>
</Properties>
</file>